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06"/>
        <w:tblW w:w="11088" w:type="dxa"/>
        <w:tblLook w:val="01E0"/>
      </w:tblPr>
      <w:tblGrid>
        <w:gridCol w:w="4924"/>
        <w:gridCol w:w="2164"/>
        <w:gridCol w:w="4000"/>
      </w:tblGrid>
      <w:tr w:rsidR="00050F7E" w:rsidRPr="00C92F70" w:rsidTr="00D208C6">
        <w:trPr>
          <w:trHeight w:val="1833"/>
        </w:trPr>
        <w:tc>
          <w:tcPr>
            <w:tcW w:w="4924" w:type="dxa"/>
          </w:tcPr>
          <w:p w:rsidR="00050F7E" w:rsidRPr="00D208C6" w:rsidRDefault="00050F7E" w:rsidP="002772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caps/>
                <w:color w:val="0070C0"/>
                <w:spacing w:val="-4"/>
                <w:sz w:val="20"/>
                <w:szCs w:val="20"/>
              </w:rPr>
            </w:pPr>
            <w:bookmarkStart w:id="0" w:name="_Toc353831491"/>
            <w:bookmarkStart w:id="1" w:name="_Toc353836052"/>
            <w:bookmarkStart w:id="2" w:name="_Toc354784572"/>
            <w:bookmarkStart w:id="3" w:name="_Toc354784765"/>
            <w:bookmarkStart w:id="4" w:name="_Toc356769625"/>
            <w:bookmarkStart w:id="5" w:name="_Toc371360924"/>
            <w:bookmarkStart w:id="6" w:name="_Hlk161584002"/>
            <w:r w:rsidRPr="00D208C6">
              <w:rPr>
                <w:rFonts w:ascii="Times New Roman" w:eastAsia="Batang" w:hAnsi="Times New Roman" w:cs="Times New Roman"/>
                <w:b/>
                <w:caps/>
                <w:color w:val="0070C0"/>
                <w:spacing w:val="-4"/>
                <w:sz w:val="20"/>
                <w:szCs w:val="20"/>
              </w:rPr>
              <w:t xml:space="preserve">République </w:t>
            </w:r>
            <w:r w:rsidRPr="00D208C6">
              <w:rPr>
                <w:rFonts w:ascii="Times New Roman" w:eastAsia="Batang" w:hAnsi="Times New Roman" w:cs="Times New Roman"/>
                <w:b/>
                <w:caps/>
                <w:color w:val="0070C0"/>
                <w:spacing w:val="-4"/>
                <w:sz w:val="20"/>
                <w:szCs w:val="20"/>
                <w:lang w:bidi="ar-TN"/>
              </w:rPr>
              <w:t>D</w:t>
            </w:r>
            <w:r w:rsidRPr="00D208C6">
              <w:rPr>
                <w:rFonts w:ascii="Times New Roman" w:eastAsia="Batang" w:hAnsi="Times New Roman" w:cs="Times New Roman"/>
                <w:b/>
                <w:caps/>
                <w:color w:val="0070C0"/>
                <w:spacing w:val="-4"/>
                <w:sz w:val="20"/>
                <w:szCs w:val="20"/>
              </w:rPr>
              <w:t>e Djibouti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208C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Unité – Égalité – Paix</w:t>
            </w:r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 xml:space="preserve">–—–—–— </w:t>
            </w:r>
            <w:r w:rsidRPr="00D208C6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 xml:space="preserve">○○○ </w:t>
            </w: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–—–—–—</w:t>
            </w:r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D208C6">
              <w:rPr>
                <w:rFonts w:ascii="Times New Roman" w:eastAsia="Batang" w:hAnsi="Times New Roman" w:cs="Times New Roman"/>
                <w:b/>
                <w:bCs/>
                <w:spacing w:val="-4"/>
                <w:sz w:val="20"/>
                <w:szCs w:val="20"/>
              </w:rPr>
              <w:t>MINISTÈRE DE L’ÉDUCATION NATIONALE</w:t>
            </w:r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8C6">
              <w:rPr>
                <w:rFonts w:ascii="Times New Roman" w:eastAsia="Batang" w:hAnsi="Times New Roman" w:cs="Times New Roman"/>
                <w:b/>
                <w:bCs/>
                <w:spacing w:val="-4"/>
                <w:sz w:val="20"/>
                <w:szCs w:val="20"/>
              </w:rPr>
              <w:t>ET DE LA FORMATION PROFESSIONNELLE</w:t>
            </w:r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0"/>
              </w:rPr>
            </w:pPr>
            <w:r w:rsidRPr="00D208C6">
              <w:rPr>
                <w:rFonts w:ascii="Times New Roman" w:hAnsi="Times New Roman" w:cs="Times New Roman"/>
                <w:b/>
                <w:sz w:val="20"/>
                <w:szCs w:val="20"/>
              </w:rPr>
              <w:t>–—–—–— ○○○ –—–—–—</w:t>
            </w:r>
          </w:p>
        </w:tc>
        <w:tc>
          <w:tcPr>
            <w:tcW w:w="2164" w:type="dxa"/>
          </w:tcPr>
          <w:p w:rsidR="00050F7E" w:rsidRPr="00D208C6" w:rsidRDefault="00050F7E" w:rsidP="00547F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D208C6"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>
                  <wp:extent cx="1123950" cy="933743"/>
                  <wp:effectExtent l="0" t="0" r="0" b="0"/>
                  <wp:docPr id="1" name="Picture 1" descr="logo MEN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MEN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82" cy="94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050F7E" w:rsidRPr="00D208C6" w:rsidRDefault="00050F7E" w:rsidP="002772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rtl/>
              </w:rPr>
            </w:pPr>
            <w:bookmarkStart w:id="7" w:name="_Toc353831492"/>
            <w:bookmarkStart w:id="8" w:name="_Toc353836053"/>
            <w:bookmarkStart w:id="9" w:name="_Toc354784573"/>
            <w:bookmarkStart w:id="10" w:name="_Toc354784766"/>
            <w:bookmarkStart w:id="11" w:name="_Toc356769626"/>
            <w:bookmarkStart w:id="12" w:name="_Toc371360925"/>
            <w:r w:rsidRPr="00D208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rtl/>
              </w:rPr>
              <w:t>جـمهـوريـة جيبـــوتي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  <w:p w:rsidR="00050F7E" w:rsidRPr="00D208C6" w:rsidRDefault="00050F7E" w:rsidP="0027723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rtl/>
                <w:lang w:bidi="ar-TN"/>
              </w:rPr>
            </w:pPr>
            <w:r w:rsidRPr="00D208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rtl/>
                <w:lang w:bidi="ar-TN"/>
              </w:rPr>
              <w:t>وحـدة – مسـاواة – سـلام</w:t>
            </w:r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</w:pP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  <w:t xml:space="preserve">–—–—–— </w:t>
            </w:r>
            <w:r w:rsidRPr="00D208C6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○○○ </w:t>
            </w: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  <w:t>–—–—–—</w:t>
            </w:r>
          </w:p>
          <w:p w:rsidR="00050F7E" w:rsidRPr="00D208C6" w:rsidRDefault="00050F7E" w:rsidP="0027723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bookmarkStart w:id="13" w:name="_Toc353831493"/>
            <w:bookmarkStart w:id="14" w:name="_Toc353836054"/>
            <w:bookmarkStart w:id="15" w:name="_Toc354784574"/>
            <w:bookmarkStart w:id="16" w:name="_Toc354784767"/>
            <w:bookmarkStart w:id="17" w:name="_Toc356769627"/>
            <w:bookmarkStart w:id="18" w:name="_Toc371360926"/>
            <w:r w:rsidRPr="00D208C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وزارة التربيـة الوطنيـة والت</w:t>
            </w:r>
            <w:r w:rsidRPr="00D208C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val="en-US"/>
              </w:rPr>
              <w:t>كوين المهني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  <w:p w:rsidR="00050F7E" w:rsidRPr="00D208C6" w:rsidRDefault="00050F7E" w:rsidP="0027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</w:pP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  <w:t xml:space="preserve">–—–—–— </w:t>
            </w:r>
            <w:r w:rsidRPr="00D208C6">
              <w:rPr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○○○ </w:t>
            </w:r>
            <w:r w:rsidRPr="00D208C6">
              <w:rPr>
                <w:rFonts w:ascii="Times New Roman" w:hAnsi="Times New Roman" w:cs="Times New Roman"/>
                <w:b/>
                <w:bCs/>
                <w:position w:val="10"/>
                <w:sz w:val="26"/>
                <w:szCs w:val="26"/>
              </w:rPr>
              <w:t>–—–—–—</w:t>
            </w:r>
          </w:p>
        </w:tc>
      </w:tr>
    </w:tbl>
    <w:p w:rsidR="003E7E95" w:rsidRPr="00D208C6" w:rsidRDefault="003E7E95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34" w:rsidRPr="00D208C6" w:rsidRDefault="00453934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34" w:rsidRPr="00D208C6" w:rsidRDefault="00453934" w:rsidP="0045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C6">
        <w:rPr>
          <w:rFonts w:ascii="Times New Roman" w:hAnsi="Times New Roman" w:cs="Times New Roman"/>
          <w:b/>
          <w:sz w:val="28"/>
          <w:szCs w:val="28"/>
        </w:rPr>
        <w:t>PROJET DE DÉVELOPPEMENT DES</w:t>
      </w:r>
    </w:p>
    <w:p w:rsidR="00453934" w:rsidRPr="00D208C6" w:rsidRDefault="00453934" w:rsidP="0045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C6">
        <w:rPr>
          <w:rFonts w:ascii="Times New Roman" w:hAnsi="Times New Roman" w:cs="Times New Roman"/>
          <w:b/>
          <w:sz w:val="28"/>
          <w:szCs w:val="28"/>
        </w:rPr>
        <w:t>COMPÉTENCES POUR L'EMPLOI À DJIBOUT</w:t>
      </w:r>
      <w:r w:rsidR="00641676">
        <w:rPr>
          <w:rFonts w:ascii="Times New Roman" w:hAnsi="Times New Roman" w:cs="Times New Roman"/>
          <w:b/>
          <w:sz w:val="28"/>
          <w:szCs w:val="28"/>
        </w:rPr>
        <w:t>I</w:t>
      </w:r>
    </w:p>
    <w:p w:rsidR="00581FDC" w:rsidRPr="00D208C6" w:rsidRDefault="00453934" w:rsidP="0045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C6">
        <w:rPr>
          <w:rFonts w:ascii="Times New Roman" w:hAnsi="Times New Roman" w:cs="Times New Roman"/>
          <w:b/>
          <w:sz w:val="28"/>
          <w:szCs w:val="28"/>
        </w:rPr>
        <w:t>(P175483)</w:t>
      </w:r>
    </w:p>
    <w:p w:rsidR="00581FDC" w:rsidRDefault="00581FDC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C6" w:rsidRPr="00D208C6" w:rsidRDefault="00D208C6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DC" w:rsidRPr="00D208C6" w:rsidRDefault="00453934" w:rsidP="0045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Hlk117808904"/>
      <w:r w:rsidRPr="00D208C6">
        <w:rPr>
          <w:rFonts w:ascii="Times New Roman" w:hAnsi="Times New Roman" w:cs="Times New Roman"/>
          <w:b/>
          <w:sz w:val="24"/>
          <w:szCs w:val="24"/>
        </w:rPr>
        <w:t>*********</w:t>
      </w:r>
      <w:bookmarkStart w:id="20" w:name="_Hlk117809287"/>
      <w:r w:rsidRPr="00D208C6">
        <w:rPr>
          <w:rFonts w:ascii="Times New Roman" w:hAnsi="Times New Roman" w:cs="Times New Roman"/>
          <w:b/>
          <w:sz w:val="24"/>
          <w:szCs w:val="24"/>
        </w:rPr>
        <w:t>***</w:t>
      </w:r>
      <w:bookmarkEnd w:id="20"/>
      <w:r w:rsidR="0055692E" w:rsidRPr="00D208C6">
        <w:rPr>
          <w:rFonts w:ascii="Times New Roman" w:hAnsi="Times New Roman" w:cs="Times New Roman"/>
          <w:b/>
          <w:sz w:val="24"/>
          <w:szCs w:val="24"/>
        </w:rPr>
        <w:t>***</w:t>
      </w:r>
    </w:p>
    <w:bookmarkEnd w:id="19"/>
    <w:p w:rsidR="00453934" w:rsidRPr="00D208C6" w:rsidRDefault="0055692E" w:rsidP="0055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C6">
        <w:rPr>
          <w:rFonts w:ascii="Times New Roman" w:hAnsi="Times New Roman" w:cs="Times New Roman"/>
          <w:b/>
          <w:sz w:val="32"/>
          <w:szCs w:val="32"/>
        </w:rPr>
        <w:t>Composante 2 : Amélioration de la gouvernance sectorielle et institutionnelle de l'EFTP, de la structure et des mécanismes de prestation de services et de gestion des programmes</w:t>
      </w:r>
    </w:p>
    <w:p w:rsidR="00453934" w:rsidRDefault="00453934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C6" w:rsidRPr="00D208C6" w:rsidRDefault="00D208C6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2E" w:rsidRPr="00D208C6" w:rsidRDefault="0055692E" w:rsidP="0055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C6">
        <w:rPr>
          <w:rFonts w:ascii="Times New Roman" w:hAnsi="Times New Roman" w:cs="Times New Roman"/>
          <w:b/>
          <w:sz w:val="24"/>
          <w:szCs w:val="24"/>
        </w:rPr>
        <w:t>***************</w:t>
      </w:r>
    </w:p>
    <w:p w:rsidR="0055692E" w:rsidRPr="00BB52AB" w:rsidRDefault="00A72225" w:rsidP="00B40858">
      <w:pPr>
        <w:pStyle w:val="Titre"/>
        <w:spacing w:after="120" w:line="259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52AB">
        <w:rPr>
          <w:rFonts w:ascii="Times New Roman" w:hAnsi="Times New Roman" w:cs="Times New Roman"/>
          <w:b/>
          <w:sz w:val="36"/>
          <w:szCs w:val="36"/>
          <w:u w:val="single"/>
        </w:rPr>
        <w:t>Termes de référence</w:t>
      </w:r>
    </w:p>
    <w:p w:rsidR="00547FAA" w:rsidRPr="00A301F5" w:rsidRDefault="009473C0" w:rsidP="00BB52AB">
      <w:pPr>
        <w:pStyle w:val="Titr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1F5">
        <w:rPr>
          <w:rFonts w:ascii="Times New Roman" w:hAnsi="Times New Roman" w:cs="Times New Roman"/>
          <w:b/>
          <w:sz w:val="36"/>
          <w:szCs w:val="36"/>
        </w:rPr>
        <w:t xml:space="preserve">Recrutement d’un </w:t>
      </w:r>
      <w:bookmarkStart w:id="21" w:name="_Hlk124278325"/>
      <w:r w:rsidR="00AA253F">
        <w:rPr>
          <w:rFonts w:ascii="Times New Roman" w:hAnsi="Times New Roman" w:cs="Times New Roman"/>
          <w:b/>
          <w:sz w:val="36"/>
          <w:szCs w:val="36"/>
        </w:rPr>
        <w:t>consultant ingénieur</w:t>
      </w:r>
      <w:r w:rsidR="00EC54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01F5">
        <w:rPr>
          <w:rFonts w:ascii="Times New Roman" w:hAnsi="Times New Roman" w:cs="Times New Roman"/>
          <w:b/>
          <w:sz w:val="36"/>
          <w:szCs w:val="36"/>
        </w:rPr>
        <w:t xml:space="preserve">pour </w:t>
      </w:r>
      <w:r w:rsidR="00586447" w:rsidRPr="00663147">
        <w:rPr>
          <w:rFonts w:ascii="Times New Roman" w:hAnsi="Times New Roman" w:cs="Times New Roman"/>
          <w:b/>
          <w:sz w:val="36"/>
          <w:szCs w:val="36"/>
        </w:rPr>
        <w:t>les études techniques</w:t>
      </w:r>
      <w:r w:rsidR="00A301F5" w:rsidRPr="006631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01F5" w:rsidRPr="00A301F5">
        <w:rPr>
          <w:rFonts w:ascii="Times New Roman" w:hAnsi="Times New Roman" w:cs="Times New Roman"/>
          <w:b/>
          <w:sz w:val="36"/>
          <w:szCs w:val="36"/>
        </w:rPr>
        <w:t>et la supervision des travaux de réhabilitation</w:t>
      </w:r>
      <w:r w:rsidR="00A8741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956FC">
        <w:rPr>
          <w:rFonts w:ascii="Times New Roman" w:hAnsi="Times New Roman" w:cs="Times New Roman"/>
          <w:b/>
          <w:sz w:val="36"/>
          <w:szCs w:val="36"/>
        </w:rPr>
        <w:t xml:space="preserve">de </w:t>
      </w:r>
      <w:r w:rsidR="00A301F5" w:rsidRPr="00A301F5">
        <w:rPr>
          <w:rFonts w:ascii="Times New Roman" w:hAnsi="Times New Roman" w:cs="Times New Roman"/>
          <w:b/>
          <w:sz w:val="36"/>
          <w:szCs w:val="36"/>
        </w:rPr>
        <w:t>rénovation</w:t>
      </w:r>
      <w:r w:rsidR="00A8741A">
        <w:rPr>
          <w:rFonts w:ascii="Times New Roman" w:hAnsi="Times New Roman" w:cs="Times New Roman"/>
          <w:b/>
          <w:sz w:val="36"/>
          <w:szCs w:val="36"/>
        </w:rPr>
        <w:t xml:space="preserve"> et/ou </w:t>
      </w:r>
      <w:r w:rsidR="00D956FC">
        <w:rPr>
          <w:rFonts w:ascii="Times New Roman" w:hAnsi="Times New Roman" w:cs="Times New Roman"/>
          <w:b/>
          <w:sz w:val="36"/>
          <w:szCs w:val="36"/>
        </w:rPr>
        <w:t>d’</w:t>
      </w:r>
      <w:r w:rsidR="00A301F5" w:rsidRPr="00A301F5">
        <w:rPr>
          <w:rFonts w:ascii="Times New Roman" w:hAnsi="Times New Roman" w:cs="Times New Roman"/>
          <w:b/>
          <w:sz w:val="36"/>
          <w:szCs w:val="36"/>
        </w:rPr>
        <w:t xml:space="preserve">extension des établissements de l’ETFP </w:t>
      </w:r>
      <w:bookmarkEnd w:id="21"/>
      <w:r w:rsidR="00A8741A">
        <w:rPr>
          <w:rFonts w:ascii="Times New Roman" w:hAnsi="Times New Roman" w:cs="Times New Roman"/>
          <w:b/>
          <w:sz w:val="36"/>
          <w:szCs w:val="36"/>
        </w:rPr>
        <w:t>de Djibouti-ville et des Chefs-lieux des régions de l’intérieur</w:t>
      </w:r>
    </w:p>
    <w:p w:rsidR="00581FDC" w:rsidRPr="00D208C6" w:rsidRDefault="00581FDC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C6" w:rsidRDefault="00D208C6" w:rsidP="000124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Look w:val="04A0"/>
      </w:tblPr>
      <w:tblGrid>
        <w:gridCol w:w="2125"/>
        <w:gridCol w:w="296"/>
        <w:gridCol w:w="7360"/>
      </w:tblGrid>
      <w:tr w:rsidR="00E20BC2" w:rsidRPr="003658D9" w:rsidTr="0049241E">
        <w:tc>
          <w:tcPr>
            <w:tcW w:w="2125" w:type="dxa"/>
          </w:tcPr>
          <w:p w:rsidR="00E20BC2" w:rsidRPr="003658D9" w:rsidRDefault="00E20BC2" w:rsidP="004924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words"/>
              </w:rPr>
            </w:pPr>
            <w:r w:rsidRPr="003658D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Durée</w:t>
            </w:r>
            <w:r w:rsidRPr="003658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3658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296" w:type="dxa"/>
          </w:tcPr>
          <w:p w:rsidR="00E20BC2" w:rsidRPr="003658D9" w:rsidRDefault="00E20BC2" w:rsidP="004924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658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7360" w:type="dxa"/>
          </w:tcPr>
          <w:p w:rsidR="00E20BC2" w:rsidRPr="003658D9" w:rsidRDefault="00E20BC2" w:rsidP="00095B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65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8D9">
              <w:rPr>
                <w:rFonts w:ascii="Times New Roman" w:hAnsi="Times New Roman" w:cs="Times New Roman"/>
                <w:sz w:val="28"/>
                <w:szCs w:val="28"/>
              </w:rPr>
              <w:t>2 mois</w:t>
            </w:r>
          </w:p>
        </w:tc>
      </w:tr>
    </w:tbl>
    <w:p w:rsidR="006B01D3" w:rsidRDefault="006B01D3" w:rsidP="00012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C6" w:rsidRDefault="00D208C6" w:rsidP="00012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DC" w:rsidRPr="00D208C6" w:rsidRDefault="00581FDC">
      <w:pPr>
        <w:rPr>
          <w:rFonts w:ascii="Times New Roman" w:hAnsi="Times New Roman" w:cs="Times New Roman"/>
          <w:sz w:val="24"/>
          <w:szCs w:val="24"/>
        </w:rPr>
      </w:pPr>
      <w:r w:rsidRPr="00D208C6">
        <w:rPr>
          <w:rFonts w:ascii="Times New Roman" w:hAnsi="Times New Roman" w:cs="Times New Roman"/>
          <w:sz w:val="24"/>
          <w:szCs w:val="24"/>
        </w:rPr>
        <w:br w:type="page"/>
      </w:r>
    </w:p>
    <w:p w:rsidR="00934666" w:rsidRPr="00D208C6" w:rsidRDefault="00AC5AB6" w:rsidP="00943923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bookmarkStart w:id="22" w:name="_Hlk118076524"/>
      <w:r w:rsidRPr="00D208C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Contexte et justification</w:t>
      </w:r>
    </w:p>
    <w:bookmarkEnd w:id="22"/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Le Ministère de l’Education Nationale et de la Formation Professionnelle a initié un vaste programme de réhabilitation/de rénovation/d’extension des établissements </w:t>
      </w:r>
      <w:r w:rsidR="00A8741A">
        <w:rPr>
          <w:rFonts w:ascii="Times New Roman" w:eastAsia="Times New Roman" w:hAnsi="Times New Roman" w:cs="Times New Roman"/>
          <w:color w:val="000000"/>
          <w:sz w:val="24"/>
        </w:rPr>
        <w:t>de l’ETFP</w:t>
      </w:r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 existants à Djibouti-ville et dans les chefs-lieux des régions de l’intérieur, ainsi que la construction des nouveaux établissements de la formation professionnelle dédiés aux secteurs d’activités économiques prioritaires.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Ce vaste programme entre dans le cadre de l’opérationnalisation de la </w:t>
      </w:r>
      <w:r w:rsidRPr="00A8741A">
        <w:rPr>
          <w:rFonts w:ascii="Times New Roman" w:eastAsia="Times New Roman" w:hAnsi="Times New Roman" w:cs="Times New Roman"/>
          <w:i/>
          <w:color w:val="000000"/>
          <w:sz w:val="24"/>
        </w:rPr>
        <w:t>"Politique Nationale de la Formation Professionnelle 2021-2035"</w:t>
      </w:r>
      <w:r w:rsidRPr="00FF3F2B">
        <w:rPr>
          <w:rFonts w:ascii="Times New Roman" w:eastAsia="Times New Roman" w:hAnsi="Times New Roman" w:cs="Times New Roman"/>
          <w:color w:val="000000"/>
          <w:sz w:val="24"/>
        </w:rPr>
        <w:t>, assortie d’un premier Plan d’Actions à Moyen Terme de la Formation Professionnelle (PAMT-FOP), couvrant la période 2021-2025.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Dans le cadre du Projet de Développement des Compétences pour l’Emploi à Djibouti (PDCED), le Groupe de la Banque Mondiale a octroyé au </w:t>
      </w:r>
      <w:bookmarkStart w:id="23" w:name="_Hlk158329360"/>
      <w:r w:rsidRPr="00FF3F2B">
        <w:rPr>
          <w:rFonts w:ascii="Times New Roman" w:eastAsia="Times New Roman" w:hAnsi="Times New Roman" w:cs="Times New Roman"/>
          <w:color w:val="000000"/>
          <w:sz w:val="24"/>
        </w:rPr>
        <w:t>Ministère de l’Education Nationale et de la Formation Professionnelle</w:t>
      </w:r>
      <w:bookmarkEnd w:id="23"/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 un financement pour contribuer aux objectifs fixés par ce premier PAM-FOP en ce qui concerne la mise en œuvre des axes majeures notamment la réhabilitation, la rénovation, l’extension, la construction et l’équipement des établissements de </w:t>
      </w:r>
      <w:r w:rsidR="00A8741A">
        <w:rPr>
          <w:rFonts w:ascii="Times New Roman" w:eastAsia="Times New Roman" w:hAnsi="Times New Roman" w:cs="Times New Roman"/>
          <w:color w:val="000000"/>
          <w:sz w:val="24"/>
        </w:rPr>
        <w:t>l’ETFP</w:t>
      </w:r>
      <w:r w:rsidRPr="00FF3F2B">
        <w:rPr>
          <w:rFonts w:ascii="Times New Roman" w:eastAsia="Times New Roman" w:hAnsi="Times New Roman" w:cs="Times New Roman"/>
          <w:color w:val="000000"/>
          <w:sz w:val="24"/>
        </w:rPr>
        <w:t xml:space="preserve"> actuels et futurs.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3F2B">
        <w:rPr>
          <w:rFonts w:ascii="Times New Roman" w:eastAsia="Times New Roman" w:hAnsi="Times New Roman" w:cs="Times New Roman"/>
          <w:color w:val="000000"/>
          <w:sz w:val="24"/>
        </w:rPr>
        <w:t>Ainsi, le Ministère de l’Education Nationale et de la Formation Professionnelle a choisi d’utiliser une partie de ce financement pour :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FF3F2B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 et la rénovation des locaux (salles et ateliers) du Lycée Industriel et Commercial (LIC) de Djibouti ;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FF3F2B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 et l’extension des locaux (salles et ateliers) du Lycée d’Enseignement Technique (LET) de Gabode (Djibouti-ville) ;</w:t>
      </w:r>
    </w:p>
    <w:p w:rsidR="00FF3F2B" w:rsidRPr="002A6B25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 et la rénovation des locaux (salles et ateliers) du Centre de Formation Professionnelle (CFP) du Stade (Djibouti-ville)</w:t>
      </w:r>
      <w:r w:rsidR="002A6B25"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</w:p>
    <w:p w:rsidR="002A6B25" w:rsidRPr="002A6B25" w:rsidRDefault="002A6B25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l’</w:t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extension des locaux (salles, ateliers,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pistes, </w:t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etc.) du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 Sectoriel de Formation Professionnelle aux métiers du Transport et de la Logistique (CSFOP</w:t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-TL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Balbala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2A6B25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réhabilitation, la rénovation et l’extension des locaux (salles et ateliers) du Lycée</w:t>
      </w:r>
      <w:r w:rsidRPr="00FF3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d’Enseignement Technique (LET) de Dikhil ;</w:t>
      </w:r>
    </w:p>
    <w:p w:rsidR="00FF3F2B" w:rsidRPr="00FF3F2B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FF3F2B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réhabilitation, la rénovation et l’extension des locaux (salles et ateliers) du Lycée d’Enseignement Technique (LET) de Tadjourah ;</w:t>
      </w:r>
    </w:p>
    <w:p w:rsidR="00FF3F2B" w:rsidRPr="00A8741A" w:rsidRDefault="00FF3F2B" w:rsidP="00FF3F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ym w:font="Wingdings" w:char="F09F"/>
      </w:r>
      <w:r w:rsidRPr="00FF3F2B">
        <w:rPr>
          <w:rFonts w:ascii="Times New Roman" w:eastAsia="Times New Roman" w:hAnsi="Times New Roman" w:cs="Times New Roman"/>
          <w:color w:val="000000"/>
          <w:sz w:val="24"/>
          <w:szCs w:val="24"/>
        </w:rPr>
        <w:t> la réhabilitation, la rénovation et l’extension des locaux (salles et ateliers) du Lycée d’Enseignement Technique (LET) d’Obock</w:t>
      </w:r>
      <w:r w:rsidR="00A874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702" w:rsidRPr="00DD0702" w:rsidRDefault="00DD0702" w:rsidP="00DD0702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D0702">
        <w:rPr>
          <w:rFonts w:ascii="Times New Roman" w:eastAsia="Times New Roman" w:hAnsi="Times New Roman" w:cs="Times New Roman"/>
          <w:color w:val="000000"/>
          <w:sz w:val="24"/>
        </w:rPr>
        <w:t xml:space="preserve">A ce titre, </w:t>
      </w:r>
      <w:r>
        <w:rPr>
          <w:rFonts w:ascii="Times New Roman" w:eastAsia="Times New Roman" w:hAnsi="Times New Roman" w:cs="Times New Roman"/>
          <w:color w:val="000000"/>
          <w:sz w:val="24"/>
        </w:rPr>
        <w:t>le MENFOP</w:t>
      </w:r>
      <w:r w:rsidRPr="00DD0702">
        <w:rPr>
          <w:rFonts w:ascii="Times New Roman" w:eastAsia="Times New Roman" w:hAnsi="Times New Roman" w:cs="Times New Roman"/>
          <w:color w:val="000000"/>
          <w:sz w:val="24"/>
        </w:rPr>
        <w:t xml:space="preserve"> souhaite recruter un consultant national ingénieur pour assurer un accompagnement technique aux travaux de réhabilitation, de rénovation et/ou d’extension des établissements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l’ETFP</w:t>
      </w:r>
      <w:r w:rsidRPr="00DD0702">
        <w:rPr>
          <w:rFonts w:ascii="Times New Roman" w:eastAsia="Times New Roman" w:hAnsi="Times New Roman" w:cs="Times New Roman"/>
          <w:color w:val="000000"/>
          <w:sz w:val="24"/>
        </w:rPr>
        <w:t xml:space="preserve"> ci-dessus cités.</w:t>
      </w:r>
    </w:p>
    <w:p w:rsidR="002A6B25" w:rsidRDefault="002A6B25" w:rsidP="0093466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25">
        <w:rPr>
          <w:rFonts w:ascii="Times New Roman" w:hAnsi="Times New Roman" w:cs="Times New Roman"/>
          <w:sz w:val="24"/>
          <w:szCs w:val="24"/>
        </w:rPr>
        <w:t xml:space="preserve">Les présents termes de référence </w:t>
      </w:r>
      <w:r w:rsidR="002D6558">
        <w:rPr>
          <w:rFonts w:ascii="Times New Roman" w:hAnsi="Times New Roman" w:cs="Times New Roman"/>
          <w:sz w:val="24"/>
          <w:szCs w:val="24"/>
        </w:rPr>
        <w:t>fixent</w:t>
      </w:r>
      <w:r w:rsidRPr="002A6B25">
        <w:rPr>
          <w:rFonts w:ascii="Times New Roman" w:hAnsi="Times New Roman" w:cs="Times New Roman"/>
          <w:sz w:val="24"/>
          <w:szCs w:val="24"/>
        </w:rPr>
        <w:t xml:space="preserve"> l’étendue des activités à mener par </w:t>
      </w:r>
      <w:r>
        <w:rPr>
          <w:rFonts w:ascii="Times New Roman" w:hAnsi="Times New Roman" w:cs="Times New Roman"/>
          <w:sz w:val="24"/>
          <w:szCs w:val="24"/>
        </w:rPr>
        <w:t>le consultant au cours de sa mission.</w:t>
      </w:r>
    </w:p>
    <w:p w:rsidR="00A72225" w:rsidRPr="0027723A" w:rsidRDefault="00A56BC8" w:rsidP="00943923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27723A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 xml:space="preserve">Objectifs de la </w:t>
      </w:r>
      <w:r w:rsidR="009A65B5">
        <w:rPr>
          <w:rFonts w:ascii="Times New Roman" w:hAnsi="Times New Roman" w:cs="Times New Roman"/>
          <w:b/>
          <w:i w:val="0"/>
          <w:color w:val="000000" w:themeColor="text1"/>
        </w:rPr>
        <w:t>consultation</w:t>
      </w:r>
    </w:p>
    <w:p w:rsidR="002A6B25" w:rsidRPr="008A1DB9" w:rsidRDefault="0012152B" w:rsidP="0012152B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 xml:space="preserve">L’objectif général de la consultation </w:t>
      </w:r>
      <w:r w:rsidR="002A6B25" w:rsidRPr="008A1DB9">
        <w:rPr>
          <w:rFonts w:ascii="Times New Roman" w:hAnsi="Times New Roman" w:cs="Times New Roman"/>
          <w:sz w:val="24"/>
          <w:szCs w:val="24"/>
        </w:rPr>
        <w:t>porte sur</w:t>
      </w:r>
      <w:r w:rsidR="00DD0702" w:rsidRPr="008A1DB9">
        <w:rPr>
          <w:rFonts w:ascii="Times New Roman" w:hAnsi="Times New Roman" w:cs="Times New Roman"/>
          <w:sz w:val="24"/>
          <w:szCs w:val="24"/>
        </w:rPr>
        <w:t xml:space="preserve"> l</w:t>
      </w:r>
      <w:r w:rsidRPr="008A1DB9">
        <w:rPr>
          <w:rFonts w:ascii="Times New Roman" w:hAnsi="Times New Roman" w:cs="Times New Roman"/>
          <w:sz w:val="24"/>
          <w:szCs w:val="24"/>
        </w:rPr>
        <w:t xml:space="preserve">a conception </w:t>
      </w:r>
      <w:r w:rsidR="000036F5" w:rsidRPr="008A1DB9">
        <w:rPr>
          <w:rFonts w:ascii="Times New Roman" w:hAnsi="Times New Roman" w:cs="Times New Roman"/>
          <w:sz w:val="24"/>
          <w:szCs w:val="24"/>
        </w:rPr>
        <w:t xml:space="preserve">des plans d’aménagement et extension ainsi que le </w:t>
      </w:r>
      <w:r w:rsidRPr="008A1DB9">
        <w:rPr>
          <w:rFonts w:ascii="Times New Roman" w:hAnsi="Times New Roman" w:cs="Times New Roman"/>
          <w:sz w:val="24"/>
          <w:szCs w:val="24"/>
        </w:rPr>
        <w:t>montage des dossiers d’appel d’offre des travaux de réhabilitation</w:t>
      </w:r>
      <w:r w:rsidR="002A6B25" w:rsidRPr="008A1DB9">
        <w:rPr>
          <w:rFonts w:ascii="Times New Roman" w:hAnsi="Times New Roman" w:cs="Times New Roman"/>
          <w:sz w:val="24"/>
          <w:szCs w:val="24"/>
        </w:rPr>
        <w:t>, de rénovation et/ou d’extension des sept (07) établissements de l’ETFP</w:t>
      </w:r>
      <w:r w:rsidR="000D5132" w:rsidRPr="008A1DB9">
        <w:rPr>
          <w:rFonts w:ascii="Times New Roman" w:hAnsi="Times New Roman" w:cs="Times New Roman"/>
          <w:sz w:val="24"/>
          <w:szCs w:val="24"/>
        </w:rPr>
        <w:t>,</w:t>
      </w:r>
      <w:r w:rsidR="002A6B25" w:rsidRPr="008A1DB9">
        <w:rPr>
          <w:rFonts w:ascii="Times New Roman" w:hAnsi="Times New Roman" w:cs="Times New Roman"/>
          <w:sz w:val="24"/>
          <w:szCs w:val="24"/>
        </w:rPr>
        <w:t xml:space="preserve"> et</w:t>
      </w:r>
      <w:r w:rsidR="000D5132" w:rsidRPr="008A1DB9">
        <w:rPr>
          <w:rFonts w:ascii="Times New Roman" w:hAnsi="Times New Roman" w:cs="Times New Roman"/>
          <w:sz w:val="24"/>
          <w:szCs w:val="24"/>
        </w:rPr>
        <w:t xml:space="preserve"> le suivi et la supervision des chantiers.</w:t>
      </w:r>
    </w:p>
    <w:p w:rsidR="000D5132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Plus spécifiquement, il s’agit de :</w:t>
      </w:r>
    </w:p>
    <w:p w:rsidR="004A1C5A" w:rsidRPr="008A1DB9" w:rsidRDefault="004A1C5A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Identifier les besoins en réhabilitation/rénovation/extension dans les différents sites ;</w:t>
      </w:r>
    </w:p>
    <w:p w:rsidR="000036F5" w:rsidRPr="008A1DB9" w:rsidRDefault="000036F5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élaborer les plans d’aménagements et d’extension nécessaires</w:t>
      </w:r>
    </w:p>
    <w:p w:rsidR="0012152B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élaborer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 les devis quantitatifs et estimatifs des travaux de réhabilitation</w:t>
      </w:r>
      <w:r w:rsidRPr="008A1DB9">
        <w:rPr>
          <w:rFonts w:ascii="Times New Roman" w:hAnsi="Times New Roman" w:cs="Times New Roman"/>
          <w:sz w:val="24"/>
          <w:szCs w:val="24"/>
        </w:rPr>
        <w:t>, de rénovation et/ou d’extension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 dans </w:t>
      </w:r>
      <w:r w:rsidRPr="008A1DB9">
        <w:rPr>
          <w:rFonts w:ascii="Times New Roman" w:hAnsi="Times New Roman" w:cs="Times New Roman"/>
          <w:sz w:val="24"/>
          <w:szCs w:val="24"/>
        </w:rPr>
        <w:t xml:space="preserve">les établissements de l’ETFP </w:t>
      </w:r>
      <w:r w:rsidR="0012152B" w:rsidRPr="008A1DB9">
        <w:rPr>
          <w:rFonts w:ascii="Times New Roman" w:hAnsi="Times New Roman" w:cs="Times New Roman"/>
          <w:sz w:val="24"/>
          <w:szCs w:val="24"/>
        </w:rPr>
        <w:t>identifiés (devis confidentiels)</w:t>
      </w:r>
      <w:r w:rsidRPr="008A1DB9">
        <w:rPr>
          <w:rFonts w:ascii="Times New Roman" w:hAnsi="Times New Roman" w:cs="Times New Roman"/>
          <w:sz w:val="24"/>
          <w:szCs w:val="24"/>
        </w:rPr>
        <w:t> ;</w:t>
      </w:r>
    </w:p>
    <w:p w:rsidR="0012152B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monter</w:t>
      </w:r>
      <w:r w:rsidR="000036F5" w:rsidRPr="008A1DB9">
        <w:rPr>
          <w:rFonts w:ascii="Times New Roman" w:hAnsi="Times New Roman" w:cs="Times New Roman"/>
          <w:sz w:val="24"/>
          <w:szCs w:val="24"/>
        </w:rPr>
        <w:t>l</w:t>
      </w:r>
      <w:r w:rsidR="0012152B" w:rsidRPr="008A1DB9">
        <w:rPr>
          <w:rFonts w:ascii="Times New Roman" w:hAnsi="Times New Roman" w:cs="Times New Roman"/>
          <w:sz w:val="24"/>
          <w:szCs w:val="24"/>
        </w:rPr>
        <w:t>es</w:t>
      </w:r>
      <w:r w:rsidR="000036F5" w:rsidRPr="008A1DB9">
        <w:rPr>
          <w:rFonts w:ascii="Times New Roman" w:hAnsi="Times New Roman" w:cs="Times New Roman"/>
          <w:sz w:val="24"/>
          <w:szCs w:val="24"/>
        </w:rPr>
        <w:t xml:space="preserve"> cahiers de charges</w:t>
      </w:r>
      <w:r w:rsidR="00385C16" w:rsidRPr="008A1DB9">
        <w:rPr>
          <w:rFonts w:ascii="Times New Roman" w:hAnsi="Times New Roman" w:cs="Times New Roman"/>
          <w:sz w:val="24"/>
          <w:szCs w:val="24"/>
        </w:rPr>
        <w:t xml:space="preserve">et participer au montage </w:t>
      </w:r>
      <w:r w:rsidR="0012152B" w:rsidRPr="008A1DB9">
        <w:rPr>
          <w:rFonts w:ascii="Times New Roman" w:hAnsi="Times New Roman" w:cs="Times New Roman"/>
          <w:sz w:val="24"/>
          <w:szCs w:val="24"/>
        </w:rPr>
        <w:t>dossiers d’appel d’offre (DAO</w:t>
      </w:r>
      <w:r w:rsidR="0012152B" w:rsidRPr="008A1DB9">
        <w:rPr>
          <w:rFonts w:ascii="Times New Roman" w:hAnsi="Times New Roman" w:cs="Times New Roman"/>
          <w:strike/>
          <w:sz w:val="24"/>
          <w:szCs w:val="24"/>
        </w:rPr>
        <w:t>)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 par lots</w:t>
      </w:r>
      <w:r w:rsidRPr="008A1DB9">
        <w:rPr>
          <w:rFonts w:ascii="Times New Roman" w:hAnsi="Times New Roman" w:cs="Times New Roman"/>
          <w:sz w:val="24"/>
          <w:szCs w:val="24"/>
        </w:rPr>
        <w:t> ;</w:t>
      </w:r>
    </w:p>
    <w:p w:rsidR="0012152B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12152B" w:rsidRPr="008A1DB9">
        <w:rPr>
          <w:rFonts w:ascii="Times New Roman" w:hAnsi="Times New Roman" w:cs="Times New Roman"/>
          <w:sz w:val="24"/>
          <w:szCs w:val="24"/>
        </w:rPr>
        <w:t>participer</w:t>
      </w:r>
      <w:r w:rsidR="000036F5" w:rsidRPr="008A1DB9">
        <w:rPr>
          <w:rFonts w:ascii="Times New Roman" w:hAnsi="Times New Roman" w:cs="Times New Roman"/>
          <w:sz w:val="24"/>
          <w:szCs w:val="24"/>
        </w:rPr>
        <w:t xml:space="preserve"> aux analyses des offres techniques et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 à la sélection des entreprises pour réaliser les travaux de réhabilitation</w:t>
      </w:r>
      <w:r w:rsidRPr="008A1DB9">
        <w:rPr>
          <w:rFonts w:ascii="Times New Roman" w:hAnsi="Times New Roman" w:cs="Times New Roman"/>
          <w:sz w:val="24"/>
          <w:szCs w:val="24"/>
        </w:rPr>
        <w:t>, de rénovation et/ou d’extension ;</w:t>
      </w:r>
    </w:p>
    <w:p w:rsidR="0012152B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a</w:t>
      </w:r>
      <w:r w:rsidR="0012152B" w:rsidRPr="008A1DB9">
        <w:rPr>
          <w:rFonts w:ascii="Times New Roman" w:hAnsi="Times New Roman" w:cs="Times New Roman"/>
          <w:sz w:val="24"/>
          <w:szCs w:val="24"/>
        </w:rPr>
        <w:t>ssurer</w:t>
      </w:r>
      <w:r w:rsidR="00385C16" w:rsidRPr="008A1DB9">
        <w:rPr>
          <w:rFonts w:ascii="Times New Roman" w:hAnsi="Times New Roman" w:cs="Times New Roman"/>
          <w:sz w:val="24"/>
          <w:szCs w:val="24"/>
        </w:rPr>
        <w:t xml:space="preserve">la supervision 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des travaux </w:t>
      </w:r>
      <w:r w:rsidR="00385C16" w:rsidRPr="008A1DB9">
        <w:rPr>
          <w:rFonts w:ascii="Times New Roman" w:hAnsi="Times New Roman" w:cs="Times New Roman"/>
          <w:sz w:val="24"/>
          <w:szCs w:val="24"/>
        </w:rPr>
        <w:t>jusqu’à la réception finale</w:t>
      </w:r>
      <w:r w:rsidRPr="008A1DB9">
        <w:rPr>
          <w:rFonts w:ascii="Times New Roman" w:hAnsi="Times New Roman" w:cs="Times New Roman"/>
          <w:sz w:val="24"/>
          <w:szCs w:val="24"/>
        </w:rPr>
        <w:t> ;</w:t>
      </w:r>
    </w:p>
    <w:p w:rsidR="0012152B" w:rsidRPr="008A1DB9" w:rsidRDefault="000D5132" w:rsidP="000D5132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p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roposer des solutions innovantes </w:t>
      </w:r>
      <w:r w:rsidRPr="008A1DB9">
        <w:rPr>
          <w:rFonts w:ascii="Times New Roman" w:hAnsi="Times New Roman" w:cs="Times New Roman"/>
          <w:sz w:val="24"/>
          <w:szCs w:val="24"/>
        </w:rPr>
        <w:t>au MENFOP</w:t>
      </w:r>
      <w:r w:rsidR="0012152B" w:rsidRPr="008A1DB9">
        <w:rPr>
          <w:rFonts w:ascii="Times New Roman" w:hAnsi="Times New Roman" w:cs="Times New Roman"/>
          <w:sz w:val="24"/>
          <w:szCs w:val="24"/>
        </w:rPr>
        <w:t xml:space="preserve"> et contribuer à la réduction des coûts</w:t>
      </w:r>
      <w:r w:rsidR="002D6558" w:rsidRPr="008A1DB9">
        <w:rPr>
          <w:rFonts w:ascii="Times New Roman" w:hAnsi="Times New Roman" w:cs="Times New Roman"/>
          <w:sz w:val="24"/>
          <w:szCs w:val="24"/>
        </w:rPr>
        <w:t>.</w:t>
      </w:r>
    </w:p>
    <w:p w:rsidR="00E747A8" w:rsidRPr="008A1DB9" w:rsidRDefault="00E747A8" w:rsidP="00277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E1" w:rsidRPr="008A1DB9" w:rsidRDefault="009A65B5" w:rsidP="00943923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bookmarkStart w:id="24" w:name="_Hlk124285542"/>
      <w:r w:rsidRPr="008A1DB9">
        <w:rPr>
          <w:rFonts w:ascii="Times New Roman" w:hAnsi="Times New Roman" w:cs="Times New Roman"/>
          <w:b/>
          <w:i w:val="0"/>
          <w:color w:val="auto"/>
        </w:rPr>
        <w:t>Méthodologie de mise en œuvre</w:t>
      </w:r>
    </w:p>
    <w:bookmarkEnd w:id="24"/>
    <w:p w:rsidR="00CB05A1" w:rsidRPr="008A1DB9" w:rsidRDefault="0012152B" w:rsidP="001215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 xml:space="preserve">Pour accomplir cette mission, le consultant devra se rendre sur les sites identifiés </w:t>
      </w:r>
      <w:r w:rsidR="00CB05A1" w:rsidRPr="008A1DB9">
        <w:rPr>
          <w:rFonts w:ascii="Times New Roman" w:hAnsi="Times New Roman" w:cs="Times New Roman"/>
          <w:sz w:val="24"/>
          <w:szCs w:val="24"/>
        </w:rPr>
        <w:t xml:space="preserve">à Djibouti-ville et dans les Chefs-lieux des trois (03) régions de l’intérieur concernés (Dikhil, Tadjourah et Obock) pour évaluer les besoins </w:t>
      </w:r>
      <w:bookmarkStart w:id="25" w:name="_Hlk159108853"/>
      <w:r w:rsidR="00CB05A1" w:rsidRPr="008A1DB9">
        <w:rPr>
          <w:rFonts w:ascii="Times New Roman" w:hAnsi="Times New Roman" w:cs="Times New Roman"/>
          <w:sz w:val="24"/>
          <w:szCs w:val="24"/>
        </w:rPr>
        <w:t>en réhabilitation/rénovation/extension dans les sept (07) établissements de l’ETFP</w:t>
      </w:r>
      <w:bookmarkEnd w:id="25"/>
      <w:r w:rsidR="00CB05A1" w:rsidRPr="008A1DB9">
        <w:rPr>
          <w:rFonts w:ascii="Times New Roman" w:hAnsi="Times New Roman" w:cs="Times New Roman"/>
          <w:sz w:val="24"/>
          <w:szCs w:val="24"/>
        </w:rPr>
        <w:t>, et collecter les informations nécessaires à la conception des dossiers d’appel d’offre et des devis confidentiels.</w:t>
      </w:r>
    </w:p>
    <w:p w:rsidR="0012152B" w:rsidRPr="008A1DB9" w:rsidRDefault="0012152B" w:rsidP="001215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Ensuite le consultant va élaborer les dossiers d’appel d’offres (</w:t>
      </w:r>
      <w:r w:rsidR="00CB05A1" w:rsidRPr="008A1DB9">
        <w:rPr>
          <w:rFonts w:ascii="Times New Roman" w:hAnsi="Times New Roman" w:cs="Times New Roman"/>
          <w:sz w:val="24"/>
          <w:szCs w:val="24"/>
        </w:rPr>
        <w:t xml:space="preserve">pour les 07 établissements de l’ETP à </w:t>
      </w:r>
      <w:r w:rsidRPr="008A1DB9">
        <w:rPr>
          <w:rFonts w:ascii="Times New Roman" w:hAnsi="Times New Roman" w:cs="Times New Roman"/>
          <w:sz w:val="24"/>
          <w:szCs w:val="24"/>
        </w:rPr>
        <w:t>Djibouti</w:t>
      </w:r>
      <w:r w:rsidR="00CB05A1" w:rsidRPr="008A1DB9">
        <w:rPr>
          <w:rFonts w:ascii="Times New Roman" w:hAnsi="Times New Roman" w:cs="Times New Roman"/>
          <w:sz w:val="24"/>
          <w:szCs w:val="24"/>
        </w:rPr>
        <w:t>-</w:t>
      </w:r>
      <w:r w:rsidRPr="008A1DB9">
        <w:rPr>
          <w:rFonts w:ascii="Times New Roman" w:hAnsi="Times New Roman" w:cs="Times New Roman"/>
          <w:sz w:val="24"/>
          <w:szCs w:val="24"/>
        </w:rPr>
        <w:t>ville</w:t>
      </w:r>
      <w:r w:rsidR="00CB05A1" w:rsidRPr="008A1DB9">
        <w:rPr>
          <w:rFonts w:ascii="Times New Roman" w:hAnsi="Times New Roman" w:cs="Times New Roman"/>
          <w:sz w:val="24"/>
          <w:szCs w:val="24"/>
        </w:rPr>
        <w:t xml:space="preserve"> et dans les Chefs-lieux des régions</w:t>
      </w:r>
      <w:r w:rsidRPr="008A1DB9">
        <w:rPr>
          <w:rFonts w:ascii="Times New Roman" w:hAnsi="Times New Roman" w:cs="Times New Roman"/>
          <w:sz w:val="24"/>
          <w:szCs w:val="24"/>
        </w:rPr>
        <w:t xml:space="preserve">) et participer à la sélection et au recrutement des entreprises </w:t>
      </w:r>
      <w:r w:rsidR="00CB05A1" w:rsidRPr="008A1DB9">
        <w:rPr>
          <w:rFonts w:ascii="Times New Roman" w:hAnsi="Times New Roman" w:cs="Times New Roman"/>
          <w:sz w:val="24"/>
          <w:szCs w:val="24"/>
        </w:rPr>
        <w:t xml:space="preserve">du BTP </w:t>
      </w:r>
      <w:r w:rsidRPr="008A1DB9">
        <w:rPr>
          <w:rFonts w:ascii="Times New Roman" w:hAnsi="Times New Roman" w:cs="Times New Roman"/>
          <w:sz w:val="24"/>
          <w:szCs w:val="24"/>
        </w:rPr>
        <w:t>sur la base des critères de passation de marchés</w:t>
      </w:r>
      <w:r w:rsidR="00CB05A1" w:rsidRPr="008A1DB9">
        <w:rPr>
          <w:rFonts w:ascii="Times New Roman" w:hAnsi="Times New Roman" w:cs="Times New Roman"/>
          <w:sz w:val="24"/>
          <w:szCs w:val="24"/>
        </w:rPr>
        <w:t>.</w:t>
      </w:r>
    </w:p>
    <w:p w:rsidR="002D6558" w:rsidRPr="008A1DB9" w:rsidRDefault="0012152B" w:rsidP="001215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Après le recrutement des entreprises</w:t>
      </w:r>
      <w:r w:rsidR="00CB05A1" w:rsidRPr="008A1DB9">
        <w:rPr>
          <w:rFonts w:ascii="Times New Roman" w:hAnsi="Times New Roman" w:cs="Times New Roman"/>
          <w:sz w:val="24"/>
          <w:szCs w:val="24"/>
        </w:rPr>
        <w:t xml:space="preserve"> du BTP</w:t>
      </w:r>
      <w:r w:rsidRPr="008A1DB9">
        <w:rPr>
          <w:rFonts w:ascii="Times New Roman" w:hAnsi="Times New Roman" w:cs="Times New Roman"/>
          <w:sz w:val="24"/>
          <w:szCs w:val="24"/>
        </w:rPr>
        <w:t>, le consultant s’associera à l’équipe de l’UGPdu</w:t>
      </w:r>
      <w:r w:rsidR="00CB05A1" w:rsidRPr="008A1DB9">
        <w:rPr>
          <w:rFonts w:ascii="Times New Roman" w:hAnsi="Times New Roman" w:cs="Times New Roman"/>
          <w:sz w:val="24"/>
          <w:szCs w:val="24"/>
        </w:rPr>
        <w:t>MENFOP</w:t>
      </w:r>
      <w:r w:rsidRPr="008A1DB9">
        <w:rPr>
          <w:rFonts w:ascii="Times New Roman" w:hAnsi="Times New Roman" w:cs="Times New Roman"/>
          <w:sz w:val="24"/>
          <w:szCs w:val="24"/>
        </w:rPr>
        <w:t xml:space="preserve"> pour effectuer régulièrement des visites sur le terrain dès le commencement des travaux pour assurer le suivi, contrôler et superviser le bon déroulement des activités de réhabilitation</w:t>
      </w:r>
      <w:r w:rsidR="00CB05A1" w:rsidRPr="008A1DB9">
        <w:rPr>
          <w:rFonts w:ascii="Times New Roman" w:hAnsi="Times New Roman" w:cs="Times New Roman"/>
          <w:sz w:val="24"/>
          <w:szCs w:val="24"/>
        </w:rPr>
        <w:t>, de rénovation et/ou d’extension</w:t>
      </w:r>
      <w:r w:rsidRPr="008A1DB9">
        <w:rPr>
          <w:rFonts w:ascii="Times New Roman" w:hAnsi="Times New Roman" w:cs="Times New Roman"/>
          <w:sz w:val="24"/>
          <w:szCs w:val="24"/>
        </w:rPr>
        <w:t xml:space="preserve"> des </w:t>
      </w:r>
      <w:r w:rsidR="00CB05A1" w:rsidRPr="008A1DB9">
        <w:rPr>
          <w:rFonts w:ascii="Times New Roman" w:hAnsi="Times New Roman" w:cs="Times New Roman"/>
          <w:sz w:val="24"/>
          <w:szCs w:val="24"/>
        </w:rPr>
        <w:t>établissements de l’ETFP</w:t>
      </w:r>
      <w:r w:rsidRPr="008A1DB9">
        <w:rPr>
          <w:rFonts w:ascii="Times New Roman" w:hAnsi="Times New Roman" w:cs="Times New Roman"/>
          <w:sz w:val="24"/>
          <w:szCs w:val="24"/>
        </w:rPr>
        <w:t>. Il se chargera de vérifier la bonne exécution, en conformité avec les cahiers de charge, des ouvrages et des installations en électricité, eau et assainissement à réaliser.</w:t>
      </w:r>
    </w:p>
    <w:p w:rsidR="0012152B" w:rsidRPr="008A1DB9" w:rsidRDefault="0012152B" w:rsidP="001215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Le consultant devra également organiser des réunions de chantiers et rédiger des comptes rendus de ces rencontres sur l’état d’avancement des travaux et les partager à tous les intervenants.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A1DB9">
        <w:rPr>
          <w:rFonts w:ascii="Times New Roman" w:hAnsi="Times New Roman" w:cs="Times New Roman"/>
          <w:sz w:val="24"/>
          <w:szCs w:val="24"/>
        </w:rPr>
        <w:t xml:space="preserve">Un rapport mensuel détaillé de l’avancement des travaux sera présenté </w:t>
      </w:r>
      <w:r w:rsidR="009A65B5" w:rsidRPr="008A1DB9">
        <w:rPr>
          <w:rFonts w:ascii="Times New Roman" w:hAnsi="Times New Roman" w:cs="Times New Roman"/>
          <w:sz w:val="24"/>
          <w:szCs w:val="24"/>
        </w:rPr>
        <w:t>aux responsables concernés du MENFOP</w:t>
      </w:r>
      <w:r w:rsidRPr="008A1DB9">
        <w:rPr>
          <w:rFonts w:ascii="Times New Roman" w:hAnsi="Times New Roman" w:cs="Times New Roman"/>
          <w:sz w:val="24"/>
          <w:szCs w:val="24"/>
        </w:rPr>
        <w:t xml:space="preserve"> par le consultant en vue non seulement de garantir le bon suivi des interventions mais également de permettre d’identifier tout goulot d’étranglement et de les corriger dans les délais.</w:t>
      </w:r>
    </w:p>
    <w:p w:rsidR="0012152B" w:rsidRPr="008A1DB9" w:rsidRDefault="0012152B" w:rsidP="001215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lastRenderedPageBreak/>
        <w:t xml:space="preserve">Le consultant national ingénieur devra être disponible pour toute autre expertise requise </w:t>
      </w:r>
      <w:r w:rsidR="002D6558" w:rsidRPr="008A1DB9">
        <w:rPr>
          <w:rFonts w:ascii="Times New Roman" w:hAnsi="Times New Roman" w:cs="Times New Roman"/>
          <w:sz w:val="24"/>
          <w:szCs w:val="24"/>
        </w:rPr>
        <w:t xml:space="preserve">dans le cadre </w:t>
      </w:r>
      <w:r w:rsidRPr="008A1DB9">
        <w:rPr>
          <w:rFonts w:ascii="Times New Roman" w:hAnsi="Times New Roman" w:cs="Times New Roman"/>
          <w:sz w:val="24"/>
          <w:szCs w:val="24"/>
        </w:rPr>
        <w:t>de</w:t>
      </w:r>
      <w:r w:rsidR="002D6558" w:rsidRPr="008A1DB9">
        <w:rPr>
          <w:rFonts w:ascii="Times New Roman" w:hAnsi="Times New Roman" w:cs="Times New Roman"/>
          <w:sz w:val="24"/>
          <w:szCs w:val="24"/>
        </w:rPr>
        <w:t xml:space="preserve"> ce</w:t>
      </w:r>
      <w:r w:rsidRPr="008A1DB9">
        <w:rPr>
          <w:rFonts w:ascii="Times New Roman" w:hAnsi="Times New Roman" w:cs="Times New Roman"/>
          <w:sz w:val="24"/>
          <w:szCs w:val="24"/>
        </w:rPr>
        <w:t>s travaux.</w:t>
      </w:r>
    </w:p>
    <w:p w:rsidR="00523A87" w:rsidRPr="008A1DB9" w:rsidRDefault="00716A5C" w:rsidP="00523A87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bookmarkStart w:id="26" w:name="_Hlk124287098"/>
      <w:r w:rsidRPr="008A1DB9">
        <w:rPr>
          <w:rFonts w:ascii="Times New Roman" w:hAnsi="Times New Roman" w:cs="Times New Roman"/>
          <w:b/>
          <w:i w:val="0"/>
          <w:color w:val="auto"/>
        </w:rPr>
        <w:t>Livrables attendus</w:t>
      </w:r>
    </w:p>
    <w:bookmarkEnd w:id="26"/>
    <w:p w:rsidR="000D503E" w:rsidRPr="008A1DB9" w:rsidRDefault="000D503E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Etat des lieux des sites – évaluation des besoins.</w:t>
      </w:r>
    </w:p>
    <w:p w:rsidR="00523A87" w:rsidRPr="008A1DB9" w:rsidRDefault="00716A5C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2B5121" w:rsidRPr="008A1DB9">
        <w:rPr>
          <w:rFonts w:ascii="Times New Roman" w:hAnsi="Times New Roman" w:cs="Times New Roman"/>
          <w:sz w:val="24"/>
          <w:szCs w:val="24"/>
        </w:rPr>
        <w:t>Les</w:t>
      </w:r>
      <w:r w:rsidR="00385C16" w:rsidRPr="008A1DB9">
        <w:rPr>
          <w:rFonts w:ascii="Times New Roman" w:hAnsi="Times New Roman" w:cs="Times New Roman"/>
          <w:sz w:val="24"/>
          <w:szCs w:val="24"/>
        </w:rPr>
        <w:t xml:space="preserve"> plans d’extension ou d’aménagement, les cahiers des charges des travaux, les spécification</w:t>
      </w:r>
      <w:r w:rsidR="001257AB" w:rsidRPr="008A1DB9">
        <w:rPr>
          <w:rFonts w:ascii="Times New Roman" w:hAnsi="Times New Roman" w:cs="Times New Roman"/>
          <w:sz w:val="24"/>
          <w:szCs w:val="24"/>
        </w:rPr>
        <w:t xml:space="preserve">s techniques pour préparer les </w:t>
      </w:r>
      <w:r w:rsidR="00523A87" w:rsidRPr="008A1DB9">
        <w:rPr>
          <w:rFonts w:ascii="Times New Roman" w:hAnsi="Times New Roman" w:cs="Times New Roman"/>
          <w:sz w:val="24"/>
          <w:szCs w:val="24"/>
        </w:rPr>
        <w:t>Dossier</w:t>
      </w:r>
      <w:r w:rsidRPr="008A1DB9">
        <w:rPr>
          <w:rFonts w:ascii="Times New Roman" w:hAnsi="Times New Roman" w:cs="Times New Roman"/>
          <w:sz w:val="24"/>
          <w:szCs w:val="24"/>
        </w:rPr>
        <w:t>s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d’appel d’offre</w:t>
      </w:r>
      <w:r w:rsidRPr="008A1DB9">
        <w:rPr>
          <w:rFonts w:ascii="Times New Roman" w:hAnsi="Times New Roman" w:cs="Times New Roman"/>
          <w:sz w:val="24"/>
          <w:szCs w:val="24"/>
        </w:rPr>
        <w:t>s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(DAO) et d’exécution technique des ouvrages de réhabilitation</w:t>
      </w:r>
      <w:r w:rsidRPr="008A1DB9">
        <w:rPr>
          <w:rFonts w:ascii="Times New Roman" w:hAnsi="Times New Roman" w:cs="Times New Roman"/>
          <w:sz w:val="24"/>
          <w:szCs w:val="24"/>
        </w:rPr>
        <w:t>, de rénovation et/ou d’extension (plans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dessiné</w:t>
      </w:r>
      <w:r w:rsidRPr="008A1DB9">
        <w:rPr>
          <w:rFonts w:ascii="Times New Roman" w:hAnsi="Times New Roman" w:cs="Times New Roman"/>
          <w:sz w:val="24"/>
          <w:szCs w:val="24"/>
        </w:rPr>
        <w:t>s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des ouvrages</w:t>
      </w:r>
      <w:r w:rsidRPr="008A1DB9">
        <w:rPr>
          <w:rFonts w:ascii="Times New Roman" w:hAnsi="Times New Roman" w:cs="Times New Roman"/>
          <w:sz w:val="24"/>
          <w:szCs w:val="24"/>
        </w:rPr>
        <w:t xml:space="preserve"> ; </w:t>
      </w:r>
      <w:r w:rsidR="00523A87" w:rsidRPr="008A1DB9">
        <w:rPr>
          <w:rFonts w:ascii="Times New Roman" w:hAnsi="Times New Roman" w:cs="Times New Roman"/>
          <w:sz w:val="24"/>
          <w:szCs w:val="24"/>
        </w:rPr>
        <w:t>devis quantitatif et estimatif</w:t>
      </w:r>
      <w:r w:rsidRPr="008A1DB9">
        <w:rPr>
          <w:rFonts w:ascii="Times New Roman" w:hAnsi="Times New Roman" w:cs="Times New Roman"/>
          <w:sz w:val="24"/>
          <w:szCs w:val="24"/>
        </w:rPr>
        <w:t xml:space="preserve"> ; </w:t>
      </w:r>
      <w:r w:rsidR="00523A87" w:rsidRPr="008A1DB9">
        <w:rPr>
          <w:rFonts w:ascii="Times New Roman" w:hAnsi="Times New Roman" w:cs="Times New Roman"/>
          <w:sz w:val="24"/>
          <w:szCs w:val="24"/>
        </w:rPr>
        <w:t>descriptions techniques d’exécution des travaux</w:t>
      </w:r>
      <w:r w:rsidRPr="008A1DB9">
        <w:rPr>
          <w:rFonts w:ascii="Times New Roman" w:hAnsi="Times New Roman" w:cs="Times New Roman"/>
          <w:sz w:val="24"/>
          <w:szCs w:val="24"/>
        </w:rPr>
        <w:t xml:space="preserve"> ; </w:t>
      </w:r>
      <w:r w:rsidR="00523A87" w:rsidRPr="008A1DB9">
        <w:rPr>
          <w:rFonts w:ascii="Times New Roman" w:hAnsi="Times New Roman" w:cs="Times New Roman"/>
          <w:sz w:val="24"/>
          <w:szCs w:val="24"/>
        </w:rPr>
        <w:t>cahier</w:t>
      </w:r>
      <w:r w:rsidRPr="008A1DB9">
        <w:rPr>
          <w:rFonts w:ascii="Times New Roman" w:hAnsi="Times New Roman" w:cs="Times New Roman"/>
          <w:sz w:val="24"/>
          <w:szCs w:val="24"/>
        </w:rPr>
        <w:t>s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de charge pour les entreprises</w:t>
      </w:r>
      <w:r w:rsidRPr="008A1DB9">
        <w:rPr>
          <w:rFonts w:ascii="Times New Roman" w:hAnsi="Times New Roman" w:cs="Times New Roman"/>
          <w:sz w:val="24"/>
          <w:szCs w:val="24"/>
        </w:rPr>
        <w:t xml:space="preserve"> du BTP</w:t>
      </w:r>
      <w:r w:rsidR="00523A87" w:rsidRPr="008A1DB9">
        <w:rPr>
          <w:rFonts w:ascii="Times New Roman" w:hAnsi="Times New Roman" w:cs="Times New Roman"/>
          <w:sz w:val="24"/>
          <w:szCs w:val="24"/>
        </w:rPr>
        <w:t>)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523A87" w:rsidRPr="008A1DB9" w:rsidRDefault="00716A5C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0D503E" w:rsidRPr="008A1DB9">
        <w:rPr>
          <w:rFonts w:ascii="Times New Roman" w:hAnsi="Times New Roman" w:cs="Times New Roman"/>
          <w:sz w:val="24"/>
          <w:szCs w:val="24"/>
        </w:rPr>
        <w:t>Procès-verbaux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 de sélection de l’entreprise </w:t>
      </w:r>
      <w:r w:rsidR="000D503E" w:rsidRPr="008A1DB9">
        <w:rPr>
          <w:rFonts w:ascii="Times New Roman" w:hAnsi="Times New Roman" w:cs="Times New Roman"/>
          <w:sz w:val="24"/>
          <w:szCs w:val="24"/>
        </w:rPr>
        <w:t>du BTP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3D3A57" w:rsidRPr="008A1DB9" w:rsidRDefault="003D3A57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Plannings de suivi de l’état d’avancement des travaux de chantiers.</w:t>
      </w:r>
    </w:p>
    <w:p w:rsidR="00523A87" w:rsidRPr="008A1DB9" w:rsidRDefault="00716A5C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523A87" w:rsidRPr="008A1DB9">
        <w:rPr>
          <w:rFonts w:ascii="Times New Roman" w:hAnsi="Times New Roman" w:cs="Times New Roman"/>
          <w:sz w:val="24"/>
          <w:szCs w:val="24"/>
        </w:rPr>
        <w:t xml:space="preserve">Rapports mensuels de suivi </w:t>
      </w:r>
      <w:r w:rsidR="000D503E" w:rsidRPr="008A1DB9">
        <w:rPr>
          <w:rFonts w:ascii="Times New Roman" w:hAnsi="Times New Roman" w:cs="Times New Roman"/>
          <w:sz w:val="24"/>
          <w:szCs w:val="24"/>
        </w:rPr>
        <w:t xml:space="preserve">des </w:t>
      </w:r>
      <w:r w:rsidR="00523A87" w:rsidRPr="008A1DB9">
        <w:rPr>
          <w:rFonts w:ascii="Times New Roman" w:hAnsi="Times New Roman" w:cs="Times New Roman"/>
          <w:sz w:val="24"/>
          <w:szCs w:val="24"/>
        </w:rPr>
        <w:t>travaux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0D503E" w:rsidRPr="008A1DB9" w:rsidRDefault="000D503E" w:rsidP="000D503E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Rapports de réception des travaux par sites.</w:t>
      </w:r>
    </w:p>
    <w:p w:rsidR="00523A87" w:rsidRPr="008A1DB9" w:rsidRDefault="00716A5C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523A87" w:rsidRPr="008A1DB9">
        <w:rPr>
          <w:rFonts w:ascii="Times New Roman" w:hAnsi="Times New Roman" w:cs="Times New Roman"/>
          <w:sz w:val="24"/>
          <w:szCs w:val="24"/>
        </w:rPr>
        <w:t>Rapport final</w:t>
      </w:r>
      <w:r w:rsidR="003D3A57" w:rsidRPr="008A1DB9">
        <w:rPr>
          <w:rFonts w:ascii="Times New Roman" w:hAnsi="Times New Roman" w:cs="Times New Roman"/>
          <w:sz w:val="24"/>
          <w:szCs w:val="24"/>
        </w:rPr>
        <w:t xml:space="preserve"> de la mission</w:t>
      </w:r>
      <w:r w:rsidR="000D503E" w:rsidRPr="008A1DB9">
        <w:rPr>
          <w:rFonts w:ascii="Times New Roman" w:hAnsi="Times New Roman" w:cs="Times New Roman"/>
          <w:sz w:val="24"/>
          <w:szCs w:val="24"/>
        </w:rPr>
        <w:t>.</w:t>
      </w:r>
    </w:p>
    <w:p w:rsidR="00523A87" w:rsidRPr="008A1DB9" w:rsidRDefault="00716A5C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523A87" w:rsidRPr="008A1DB9">
        <w:rPr>
          <w:rFonts w:ascii="Times New Roman" w:hAnsi="Times New Roman" w:cs="Times New Roman"/>
          <w:sz w:val="24"/>
          <w:szCs w:val="24"/>
        </w:rPr>
        <w:t>Autres rapports en fonction des besoins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523A87" w:rsidRPr="008A1DB9" w:rsidRDefault="00523A87" w:rsidP="009260A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0565" w:rsidRPr="008A1DB9" w:rsidRDefault="00B80565" w:rsidP="0012152B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bookmarkStart w:id="27" w:name="_Hlk159110533"/>
      <w:r w:rsidRPr="008A1DB9">
        <w:rPr>
          <w:rFonts w:ascii="Times New Roman" w:hAnsi="Times New Roman" w:cs="Times New Roman"/>
          <w:b/>
          <w:i w:val="0"/>
          <w:color w:val="auto"/>
        </w:rPr>
        <w:t xml:space="preserve">Durée </w:t>
      </w:r>
      <w:bookmarkStart w:id="28" w:name="_Toc137449651"/>
      <w:bookmarkStart w:id="29" w:name="_Toc172653321"/>
      <w:r w:rsidR="000D503E" w:rsidRPr="008A1DB9">
        <w:rPr>
          <w:rFonts w:ascii="Times New Roman" w:hAnsi="Times New Roman" w:cs="Times New Roman"/>
          <w:b/>
          <w:i w:val="0"/>
          <w:color w:val="auto"/>
        </w:rPr>
        <w:t>de la mission</w:t>
      </w:r>
    </w:p>
    <w:bookmarkEnd w:id="27"/>
    <w:p w:rsidR="003658D9" w:rsidRDefault="0012152B" w:rsidP="0012152B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La durée totale de la mission (</w:t>
      </w:r>
      <w:r w:rsidR="003658D9">
        <w:rPr>
          <w:rFonts w:ascii="Times New Roman" w:hAnsi="Times New Roman" w:cs="Times New Roman"/>
          <w:sz w:val="24"/>
          <w:szCs w:val="24"/>
        </w:rPr>
        <w:t>études</w:t>
      </w:r>
      <w:r w:rsid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8A1DB9">
        <w:rPr>
          <w:rFonts w:ascii="Times New Roman" w:hAnsi="Times New Roman" w:cs="Times New Roman"/>
          <w:sz w:val="24"/>
          <w:szCs w:val="24"/>
        </w:rPr>
        <w:t>et supervision des travaux) est d</w:t>
      </w:r>
      <w:r w:rsidR="00E910A9">
        <w:rPr>
          <w:rFonts w:ascii="Times New Roman" w:hAnsi="Times New Roman" w:cs="Times New Roman"/>
          <w:sz w:val="24"/>
          <w:szCs w:val="24"/>
        </w:rPr>
        <w:t>’une année</w:t>
      </w:r>
      <w:r w:rsidRPr="008A1DB9">
        <w:rPr>
          <w:rFonts w:ascii="Times New Roman" w:hAnsi="Times New Roman" w:cs="Times New Roman"/>
          <w:sz w:val="24"/>
          <w:szCs w:val="24"/>
        </w:rPr>
        <w:t xml:space="preserve"> à compter de la date de signature du contrat</w:t>
      </w:r>
      <w:r w:rsidR="00EC54BB">
        <w:rPr>
          <w:rFonts w:ascii="Times New Roman" w:hAnsi="Times New Roman" w:cs="Times New Roman"/>
          <w:sz w:val="24"/>
          <w:szCs w:val="24"/>
        </w:rPr>
        <w:t xml:space="preserve"> </w:t>
      </w:r>
      <w:r w:rsidR="003658D9">
        <w:rPr>
          <w:rFonts w:ascii="Times New Roman" w:hAnsi="Times New Roman" w:cs="Times New Roman"/>
          <w:sz w:val="24"/>
          <w:szCs w:val="24"/>
        </w:rPr>
        <w:t xml:space="preserve">repartie comme suit </w:t>
      </w:r>
    </w:p>
    <w:p w:rsidR="003658D9" w:rsidRPr="00EC54BB" w:rsidRDefault="00E262CE" w:rsidP="003658D9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sz w:val="24"/>
          <w:szCs w:val="24"/>
        </w:rPr>
        <w:t>Phase ét</w:t>
      </w:r>
      <w:r w:rsidR="003658D9" w:rsidRPr="00EC54BB">
        <w:rPr>
          <w:rFonts w:ascii="Times New Roman" w:hAnsi="Times New Roman" w:cs="Times New Roman"/>
          <w:sz w:val="24"/>
          <w:szCs w:val="24"/>
        </w:rPr>
        <w:t>ude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="00586447" w:rsidRPr="00EC54BB">
        <w:rPr>
          <w:rFonts w:ascii="Times New Roman" w:hAnsi="Times New Roman" w:cs="Times New Roman"/>
          <w:sz w:val="24"/>
          <w:szCs w:val="24"/>
        </w:rPr>
        <w:t xml:space="preserve">technique de deux mois </w:t>
      </w:r>
    </w:p>
    <w:p w:rsidR="009A65B5" w:rsidRPr="00EC54BB" w:rsidRDefault="003658D9" w:rsidP="003658D9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sz w:val="24"/>
          <w:szCs w:val="24"/>
        </w:rPr>
        <w:t>E</w:t>
      </w:r>
      <w:r w:rsidR="00586447" w:rsidRPr="00EC54BB">
        <w:rPr>
          <w:rFonts w:ascii="Times New Roman" w:hAnsi="Times New Roman" w:cs="Times New Roman"/>
          <w:sz w:val="24"/>
          <w:szCs w:val="24"/>
        </w:rPr>
        <w:t>t une phase de supervision des travaux de dix mois.</w:t>
      </w:r>
    </w:p>
    <w:p w:rsidR="000D503E" w:rsidRPr="008A1DB9" w:rsidRDefault="000D503E" w:rsidP="000D503E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A1DB9">
        <w:rPr>
          <w:rFonts w:ascii="Times New Roman" w:hAnsi="Times New Roman" w:cs="Times New Roman"/>
          <w:b/>
          <w:i w:val="0"/>
          <w:color w:val="auto"/>
        </w:rPr>
        <w:t>Calendrier d’exécution</w:t>
      </w:r>
    </w:p>
    <w:tbl>
      <w:tblPr>
        <w:tblW w:w="10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right w:w="58" w:type="dxa"/>
        </w:tblCellMar>
        <w:tblLook w:val="04A0"/>
      </w:tblPr>
      <w:tblGrid>
        <w:gridCol w:w="565"/>
        <w:gridCol w:w="4392"/>
        <w:gridCol w:w="2680"/>
        <w:gridCol w:w="1430"/>
        <w:gridCol w:w="1420"/>
      </w:tblGrid>
      <w:tr w:rsidR="008A1DB9" w:rsidRPr="008A1DB9" w:rsidTr="004B36A7">
        <w:trPr>
          <w:trHeight w:val="454"/>
          <w:jc w:val="center"/>
        </w:trPr>
        <w:tc>
          <w:tcPr>
            <w:tcW w:w="565" w:type="dxa"/>
            <w:vAlign w:val="center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392" w:type="dxa"/>
            <w:vAlign w:val="center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2680" w:type="dxa"/>
            <w:vAlign w:val="center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b/>
                <w:sz w:val="24"/>
                <w:szCs w:val="24"/>
              </w:rPr>
              <w:t>Livrables</w:t>
            </w:r>
          </w:p>
        </w:tc>
        <w:tc>
          <w:tcPr>
            <w:tcW w:w="1430" w:type="dxa"/>
            <w:vAlign w:val="center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b/>
                <w:sz w:val="24"/>
                <w:szCs w:val="24"/>
              </w:rPr>
              <w:t>Échéance</w:t>
            </w:r>
          </w:p>
        </w:tc>
        <w:tc>
          <w:tcPr>
            <w:tcW w:w="1420" w:type="dxa"/>
            <w:vAlign w:val="center"/>
          </w:tcPr>
          <w:p w:rsidR="009A65B5" w:rsidRPr="008A1DB9" w:rsidRDefault="003D3A57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b/>
                <w:sz w:val="24"/>
                <w:szCs w:val="24"/>
              </w:rPr>
              <w:t>Durée</w:t>
            </w:r>
            <w:r w:rsidRPr="008A1DB9">
              <w:rPr>
                <w:rStyle w:val="Appelnotedebasdep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</w:tcPr>
          <w:p w:rsidR="00F4639C" w:rsidRPr="008A1DB9" w:rsidRDefault="00716A5C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2" w:type="dxa"/>
          </w:tcPr>
          <w:p w:rsidR="003D3A57" w:rsidRPr="008A1DB9" w:rsidRDefault="004A1C5A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Constat et relevé de l’existant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expertise technique (reportage photographique, documents graphiques, documents écrits)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évaluation des besoins en réhabilitation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rénovation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et/ou 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dans les différents sites.</w:t>
            </w:r>
          </w:p>
        </w:tc>
        <w:tc>
          <w:tcPr>
            <w:tcW w:w="2680" w:type="dxa"/>
          </w:tcPr>
          <w:p w:rsidR="00F4639C" w:rsidRPr="008A1DB9" w:rsidRDefault="000D503E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Etat des lieux</w:t>
            </w:r>
          </w:p>
        </w:tc>
        <w:tc>
          <w:tcPr>
            <w:tcW w:w="1430" w:type="dxa"/>
          </w:tcPr>
          <w:p w:rsidR="00F4639C" w:rsidRPr="008A1DB9" w:rsidRDefault="00F4639C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4639C" w:rsidRPr="008A1DB9" w:rsidRDefault="00F4639C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</w:tcPr>
          <w:p w:rsidR="004A1C5A" w:rsidRPr="008A1DB9" w:rsidRDefault="00716A5C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92" w:type="dxa"/>
          </w:tcPr>
          <w:p w:rsidR="003D3A57" w:rsidRPr="008A1DB9" w:rsidRDefault="004A1C5A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Préparation et validation des devis pour les différents travaux de réhabilitation, de rénovation et/ou d’extension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4A1C5A" w:rsidRPr="008A1DB9" w:rsidRDefault="004B36A7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Plans, cahiers de charges et 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Devis </w:t>
            </w:r>
            <w:r w:rsidR="003D3A57" w:rsidRPr="008A1DB9">
              <w:rPr>
                <w:rFonts w:ascii="Times New Roman" w:hAnsi="Times New Roman" w:cs="Times New Roman"/>
                <w:sz w:val="24"/>
                <w:szCs w:val="24"/>
              </w:rPr>
              <w:t>cconfidentiels</w:t>
            </w:r>
          </w:p>
        </w:tc>
        <w:tc>
          <w:tcPr>
            <w:tcW w:w="1430" w:type="dxa"/>
          </w:tcPr>
          <w:p w:rsidR="004A1C5A" w:rsidRPr="008A1DB9" w:rsidRDefault="004A1C5A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1C5A" w:rsidRPr="008A1DB9" w:rsidRDefault="004A1C5A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3D3A57" w:rsidRPr="008A1DB9" w:rsidRDefault="00A6127E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Montage </w:t>
            </w:r>
            <w:r w:rsidR="004A1C5A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transmission des dossiers d’appel d’offres (DAO)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d’exécution technique des ouvrages de réhabilitation, de 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rénovation et/ou d’extension.</w:t>
            </w:r>
          </w:p>
        </w:tc>
        <w:tc>
          <w:tcPr>
            <w:tcW w:w="2680" w:type="dxa"/>
          </w:tcPr>
          <w:p w:rsidR="009A65B5" w:rsidRPr="008A1DB9" w:rsidRDefault="00CF0030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Spécifications techniques du </w:t>
            </w:r>
            <w:r w:rsidR="009A65B5" w:rsidRPr="008A1DB9">
              <w:rPr>
                <w:rFonts w:ascii="Times New Roman" w:hAnsi="Times New Roman" w:cs="Times New Roman"/>
                <w:sz w:val="24"/>
                <w:szCs w:val="24"/>
              </w:rPr>
              <w:t>DAO</w:t>
            </w:r>
          </w:p>
        </w:tc>
        <w:tc>
          <w:tcPr>
            <w:tcW w:w="1430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9A65B5" w:rsidRPr="008A1DB9" w:rsidRDefault="009A65B5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Analyse des dossiers d’appel d’offres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sélection finale des entreprises et établissement des contrats avec les entreprises </w:t>
            </w:r>
          </w:p>
        </w:tc>
        <w:tc>
          <w:tcPr>
            <w:tcW w:w="2680" w:type="dxa"/>
          </w:tcPr>
          <w:p w:rsidR="00B80565" w:rsidRPr="008A1DB9" w:rsidRDefault="009A65B5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Liste des entreprises sélectionnées</w:t>
            </w:r>
          </w:p>
          <w:p w:rsidR="009A65B5" w:rsidRPr="008A1DB9" w:rsidRDefault="009A65B5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Contrats 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es entreprises sélectionnées</w:t>
            </w:r>
          </w:p>
        </w:tc>
        <w:tc>
          <w:tcPr>
            <w:tcW w:w="1430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A65B5" w:rsidRPr="008A1DB9" w:rsidRDefault="009A65B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</w:tcPr>
          <w:p w:rsidR="009C4ACD" w:rsidRPr="008A1DB9" w:rsidRDefault="00B8056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2" w:type="dxa"/>
          </w:tcPr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Suivi et contrôle des travaux de réhabilitation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>, de rénovation et/ou d’extension</w:t>
            </w:r>
            <w:r w:rsidR="00716A5C" w:rsidRPr="008A1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59111011"/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3D3A57" w:rsidRPr="008A1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hebdomadaire</w:t>
            </w:r>
            <w:r w:rsidR="003D3A57" w:rsidRPr="008A1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et mensuel</w:t>
            </w:r>
            <w:r w:rsidR="003D3A57" w:rsidRPr="008A1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 de suivi et état d’avancement des travaux de chantiers </w:t>
            </w:r>
          </w:p>
          <w:bookmarkEnd w:id="30"/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Rapports mensuels de suivi des travaux </w:t>
            </w:r>
          </w:p>
        </w:tc>
        <w:tc>
          <w:tcPr>
            <w:tcW w:w="1430" w:type="dxa"/>
          </w:tcPr>
          <w:p w:rsidR="009C4ACD" w:rsidRPr="008A1DB9" w:rsidRDefault="009C4ACD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C4ACD" w:rsidRPr="008A1DB9" w:rsidRDefault="009C4ACD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B9" w:rsidRPr="008A1DB9" w:rsidTr="004B36A7">
        <w:trPr>
          <w:trHeight w:val="850"/>
          <w:jc w:val="center"/>
        </w:trPr>
        <w:tc>
          <w:tcPr>
            <w:tcW w:w="565" w:type="dxa"/>
            <w:tcBorders>
              <w:bottom w:val="single" w:sz="4" w:space="0" w:color="000000"/>
            </w:tcBorders>
          </w:tcPr>
          <w:p w:rsidR="009C4ACD" w:rsidRPr="008A1DB9" w:rsidRDefault="00B8056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Réception des travaux de réhabilitation</w:t>
            </w:r>
            <w:r w:rsidR="00A6127E" w:rsidRPr="008A1DB9">
              <w:rPr>
                <w:rFonts w:ascii="Times New Roman" w:hAnsi="Times New Roman" w:cs="Times New Roman"/>
                <w:sz w:val="24"/>
                <w:szCs w:val="24"/>
              </w:rPr>
              <w:t>, de rénovation et/ou d’extension.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 w:rsidR="00B80565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59110673"/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Rapports de réception des travaux par sites</w:t>
            </w:r>
          </w:p>
          <w:bookmarkEnd w:id="31"/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Rapport final de la consultation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9C4ACD" w:rsidRPr="008A1DB9" w:rsidRDefault="009C4ACD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C" w:rsidRPr="008A1DB9" w:rsidTr="004B36A7">
        <w:trPr>
          <w:trHeight w:val="680"/>
          <w:jc w:val="center"/>
        </w:trPr>
        <w:tc>
          <w:tcPr>
            <w:tcW w:w="565" w:type="dxa"/>
            <w:vAlign w:val="center"/>
          </w:tcPr>
          <w:p w:rsidR="009C4ACD" w:rsidRPr="008A1DB9" w:rsidRDefault="009C4ACD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9C4ACD" w:rsidRPr="008A1DB9" w:rsidRDefault="009C4ACD" w:rsidP="0097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80" w:type="dxa"/>
            <w:vAlign w:val="center"/>
          </w:tcPr>
          <w:p w:rsidR="009C4ACD" w:rsidRPr="008A1DB9" w:rsidRDefault="009C4ACD" w:rsidP="003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C4ACD" w:rsidRPr="008A1DB9" w:rsidRDefault="003658D9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4C95" w:rsidRPr="008A1DB9">
              <w:rPr>
                <w:rFonts w:ascii="Times New Roman" w:hAnsi="Times New Roman" w:cs="Times New Roman"/>
                <w:sz w:val="24"/>
                <w:szCs w:val="24"/>
              </w:rPr>
              <w:t>mois</w:t>
            </w:r>
          </w:p>
        </w:tc>
        <w:tc>
          <w:tcPr>
            <w:tcW w:w="1420" w:type="dxa"/>
            <w:vAlign w:val="center"/>
          </w:tcPr>
          <w:p w:rsidR="009C4ACD" w:rsidRPr="008A1DB9" w:rsidRDefault="00974C95" w:rsidP="003D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B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C4ACD" w:rsidRPr="008A1DB9">
              <w:rPr>
                <w:rFonts w:ascii="Times New Roman" w:hAnsi="Times New Roman" w:cs="Times New Roman"/>
                <w:sz w:val="24"/>
                <w:szCs w:val="24"/>
              </w:rPr>
              <w:t>jours ouvrables</w:t>
            </w:r>
          </w:p>
        </w:tc>
      </w:tr>
    </w:tbl>
    <w:p w:rsidR="00B80565" w:rsidRPr="008A1DB9" w:rsidRDefault="00B80565" w:rsidP="00BB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A7" w:rsidRPr="008A1DB9" w:rsidRDefault="00BB24A7" w:rsidP="000D503E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A1DB9">
        <w:rPr>
          <w:rFonts w:ascii="Times New Roman" w:hAnsi="Times New Roman" w:cs="Times New Roman"/>
          <w:b/>
          <w:i w:val="0"/>
          <w:color w:val="auto"/>
        </w:rPr>
        <w:t>Lieu de consultation et conditions de travail</w:t>
      </w:r>
    </w:p>
    <w:p w:rsidR="00974C95" w:rsidRPr="008A1DB9" w:rsidRDefault="00974C95" w:rsidP="00974C95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 xml:space="preserve">Le consultant travaillera </w:t>
      </w:r>
      <w:r w:rsidR="00CF0030" w:rsidRPr="008A1DB9">
        <w:rPr>
          <w:rFonts w:ascii="Times New Roman" w:hAnsi="Times New Roman" w:cs="Times New Roman"/>
          <w:sz w:val="24"/>
          <w:szCs w:val="24"/>
        </w:rPr>
        <w:t xml:space="preserve">directement avec le Directeur des projets du MENFOP </w:t>
      </w:r>
      <w:r w:rsidRPr="008A1DB9">
        <w:rPr>
          <w:rFonts w:ascii="Times New Roman" w:hAnsi="Times New Roman" w:cs="Times New Roman"/>
          <w:sz w:val="24"/>
          <w:szCs w:val="24"/>
        </w:rPr>
        <w:t xml:space="preserve">en étroite collaboration avec la Direction Générale de l’ETFP et toute autre partenaire selon les besoins. Le consultant devra disposer </w:t>
      </w:r>
      <w:r w:rsidR="002B5121" w:rsidRPr="008A1DB9">
        <w:rPr>
          <w:rFonts w:ascii="Times New Roman" w:hAnsi="Times New Roman" w:cs="Times New Roman"/>
          <w:sz w:val="24"/>
          <w:szCs w:val="24"/>
        </w:rPr>
        <w:t xml:space="preserve">son propre bureau, </w:t>
      </w:r>
      <w:r w:rsidRPr="008A1DB9">
        <w:rPr>
          <w:rFonts w:ascii="Times New Roman" w:hAnsi="Times New Roman" w:cs="Times New Roman"/>
          <w:sz w:val="24"/>
          <w:szCs w:val="24"/>
        </w:rPr>
        <w:t>de ses propres équipements de travail</w:t>
      </w:r>
      <w:r w:rsidR="002B5121" w:rsidRPr="008A1DB9">
        <w:rPr>
          <w:rFonts w:ascii="Times New Roman" w:hAnsi="Times New Roman" w:cs="Times New Roman"/>
          <w:sz w:val="24"/>
          <w:szCs w:val="24"/>
        </w:rPr>
        <w:t xml:space="preserve"> et moyens logistiques</w:t>
      </w:r>
      <w:r w:rsidRPr="008A1DB9">
        <w:rPr>
          <w:rFonts w:ascii="Times New Roman" w:hAnsi="Times New Roman" w:cs="Times New Roman"/>
          <w:sz w:val="24"/>
          <w:szCs w:val="24"/>
        </w:rPr>
        <w:t>. Le consultant sera bas</w:t>
      </w:r>
      <w:r w:rsidR="002B5121" w:rsidRPr="008A1DB9">
        <w:rPr>
          <w:rFonts w:ascii="Times New Roman" w:hAnsi="Times New Roman" w:cs="Times New Roman"/>
          <w:sz w:val="24"/>
          <w:szCs w:val="24"/>
        </w:rPr>
        <w:t>é</w:t>
      </w:r>
      <w:r w:rsidRPr="008A1DB9">
        <w:rPr>
          <w:rFonts w:ascii="Times New Roman" w:hAnsi="Times New Roman" w:cs="Times New Roman"/>
          <w:sz w:val="24"/>
          <w:szCs w:val="24"/>
        </w:rPr>
        <w:t xml:space="preserve"> à Djibouti avec </w:t>
      </w:r>
      <w:r w:rsidR="002B5121" w:rsidRPr="008A1DB9">
        <w:rPr>
          <w:rFonts w:ascii="Times New Roman" w:hAnsi="Times New Roman" w:cs="Times New Roman"/>
          <w:sz w:val="24"/>
          <w:szCs w:val="24"/>
        </w:rPr>
        <w:t xml:space="preserve">des </w:t>
      </w:r>
      <w:r w:rsidRPr="008A1DB9">
        <w:rPr>
          <w:rFonts w:ascii="Times New Roman" w:hAnsi="Times New Roman" w:cs="Times New Roman"/>
          <w:sz w:val="24"/>
          <w:szCs w:val="24"/>
        </w:rPr>
        <w:t xml:space="preserve">missions sur le terrain dans les régions de l’intérieur. </w:t>
      </w:r>
      <w:r w:rsidR="002B5121" w:rsidRPr="008A1DB9">
        <w:rPr>
          <w:rFonts w:ascii="Times New Roman" w:hAnsi="Times New Roman" w:cs="Times New Roman"/>
          <w:sz w:val="24"/>
          <w:szCs w:val="24"/>
        </w:rPr>
        <w:t xml:space="preserve">Tous les frais de déplacement ainsi que les moyens logistiques du consultant (et éventuellement de ses collaborateurs) seront à la charge du consultant. </w:t>
      </w:r>
    </w:p>
    <w:p w:rsidR="00974C95" w:rsidRPr="008A1DB9" w:rsidRDefault="00974C95" w:rsidP="00BB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A7" w:rsidRPr="008A1DB9" w:rsidRDefault="00B80565" w:rsidP="000D503E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A1DB9">
        <w:rPr>
          <w:rFonts w:ascii="Times New Roman" w:hAnsi="Times New Roman" w:cs="Times New Roman"/>
          <w:b/>
          <w:i w:val="0"/>
          <w:color w:val="auto"/>
        </w:rPr>
        <w:t>Profil du consultant</w:t>
      </w:r>
    </w:p>
    <w:p w:rsidR="00974C95" w:rsidRPr="008A1DB9" w:rsidRDefault="00C75AF1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>Il est recherche un consultant ingénieur justifiant des qualifications, des expériences et des compétences ci-après :</w:t>
      </w:r>
    </w:p>
    <w:p w:rsidR="00BB24A7" w:rsidRPr="008A1DB9" w:rsidRDefault="00C75AF1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="004E19CD" w:rsidRPr="008A1DB9">
        <w:rPr>
          <w:rFonts w:ascii="Times New Roman" w:hAnsi="Times New Roman" w:cs="Times New Roman"/>
          <w:sz w:val="24"/>
          <w:szCs w:val="24"/>
        </w:rPr>
        <w:t> Diplôme</w:t>
      </w:r>
      <w:r w:rsidR="00BB24A7" w:rsidRPr="008A1DB9">
        <w:rPr>
          <w:rFonts w:ascii="Times New Roman" w:hAnsi="Times New Roman" w:cs="Times New Roman"/>
          <w:sz w:val="24"/>
          <w:szCs w:val="24"/>
        </w:rPr>
        <w:t xml:space="preserve"> universitaire du niveau minimum BAC +5 en tant qu’ingénieur </w:t>
      </w:r>
      <w:r w:rsidR="00FF7D78" w:rsidRPr="008A1DB9">
        <w:rPr>
          <w:rFonts w:ascii="Times New Roman" w:hAnsi="Times New Roman" w:cs="Times New Roman"/>
          <w:sz w:val="24"/>
          <w:szCs w:val="24"/>
        </w:rPr>
        <w:t xml:space="preserve">génie </w:t>
      </w:r>
      <w:r w:rsidR="00BB24A7" w:rsidRPr="008A1DB9">
        <w:rPr>
          <w:rFonts w:ascii="Times New Roman" w:hAnsi="Times New Roman" w:cs="Times New Roman"/>
          <w:sz w:val="24"/>
          <w:szCs w:val="24"/>
        </w:rPr>
        <w:t>civil et/ou Engineering Management</w:t>
      </w:r>
      <w:r w:rsidR="004B36A7" w:rsidRPr="008A1DB9">
        <w:rPr>
          <w:rFonts w:ascii="Times New Roman" w:hAnsi="Times New Roman" w:cs="Times New Roman"/>
          <w:sz w:val="24"/>
          <w:szCs w:val="24"/>
        </w:rPr>
        <w:t xml:space="preserve"> ou équivalent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BB24A7" w:rsidRPr="008A1DB9" w:rsidRDefault="00C75AF1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="004E19CD" w:rsidRPr="008A1DB9">
        <w:rPr>
          <w:rFonts w:ascii="Times New Roman" w:hAnsi="Times New Roman" w:cs="Times New Roman"/>
          <w:sz w:val="24"/>
          <w:szCs w:val="24"/>
        </w:rPr>
        <w:t> Expérience d’a</w:t>
      </w:r>
      <w:r w:rsidRPr="008A1DB9">
        <w:rPr>
          <w:rFonts w:ascii="Times New Roman" w:hAnsi="Times New Roman" w:cs="Times New Roman"/>
          <w:sz w:val="24"/>
          <w:szCs w:val="24"/>
        </w:rPr>
        <w:t>u</w:t>
      </w:r>
      <w:r w:rsidR="00BB24A7" w:rsidRPr="008A1DB9">
        <w:rPr>
          <w:rFonts w:ascii="Times New Roman" w:hAnsi="Times New Roman" w:cs="Times New Roman"/>
          <w:sz w:val="24"/>
          <w:szCs w:val="24"/>
        </w:rPr>
        <w:t xml:space="preserve"> moins </w:t>
      </w:r>
      <w:r w:rsidRPr="008A1DB9">
        <w:rPr>
          <w:rFonts w:ascii="Times New Roman" w:hAnsi="Times New Roman" w:cs="Times New Roman"/>
          <w:sz w:val="24"/>
          <w:szCs w:val="24"/>
        </w:rPr>
        <w:t>1</w:t>
      </w:r>
      <w:r w:rsidR="001257AB" w:rsidRPr="008A1DB9">
        <w:rPr>
          <w:rFonts w:ascii="Times New Roman" w:hAnsi="Times New Roman" w:cs="Times New Roman"/>
          <w:sz w:val="24"/>
          <w:szCs w:val="24"/>
        </w:rPr>
        <w:t>5</w:t>
      </w:r>
      <w:r w:rsidR="00BB24A7" w:rsidRPr="008A1DB9">
        <w:rPr>
          <w:rFonts w:ascii="Times New Roman" w:hAnsi="Times New Roman" w:cs="Times New Roman"/>
          <w:sz w:val="24"/>
          <w:szCs w:val="24"/>
        </w:rPr>
        <w:t xml:space="preserve"> années dans le domaine de la construction</w:t>
      </w:r>
      <w:r w:rsidRPr="008A1DB9">
        <w:rPr>
          <w:rFonts w:ascii="Times New Roman" w:hAnsi="Times New Roman" w:cs="Times New Roman"/>
          <w:sz w:val="24"/>
          <w:szCs w:val="24"/>
        </w:rPr>
        <w:t>, la réhabilitation, la rénovation et l’extension de</w:t>
      </w:r>
      <w:r w:rsidR="004B36A7" w:rsidRPr="008A1DB9">
        <w:rPr>
          <w:rFonts w:ascii="Times New Roman" w:hAnsi="Times New Roman" w:cs="Times New Roman"/>
          <w:sz w:val="24"/>
          <w:szCs w:val="24"/>
        </w:rPr>
        <w:t>sinfrastructures scolaires</w:t>
      </w:r>
      <w:r w:rsidR="004E19CD" w:rsidRPr="008A1DB9">
        <w:rPr>
          <w:rFonts w:ascii="Times New Roman" w:hAnsi="Times New Roman" w:cs="Times New Roman"/>
          <w:sz w:val="24"/>
          <w:szCs w:val="24"/>
        </w:rPr>
        <w:t>.</w:t>
      </w:r>
    </w:p>
    <w:p w:rsidR="00BB24A7" w:rsidRPr="008A1DB9" w:rsidRDefault="00C75AF1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="004E19CD" w:rsidRPr="008A1DB9">
        <w:rPr>
          <w:rFonts w:ascii="Times New Roman" w:hAnsi="Times New Roman" w:cs="Times New Roman"/>
          <w:sz w:val="24"/>
          <w:szCs w:val="24"/>
        </w:rPr>
        <w:t> </w:t>
      </w:r>
      <w:r w:rsidR="00BB24A7" w:rsidRPr="008A1DB9">
        <w:rPr>
          <w:rFonts w:ascii="Times New Roman" w:hAnsi="Times New Roman" w:cs="Times New Roman"/>
          <w:sz w:val="24"/>
          <w:szCs w:val="24"/>
        </w:rPr>
        <w:t>Expertise prouvée</w:t>
      </w:r>
      <w:bookmarkStart w:id="32" w:name="_Hlk159113203"/>
      <w:r w:rsidR="004E19CD" w:rsidRPr="008A1DB9">
        <w:rPr>
          <w:rFonts w:ascii="Times New Roman" w:hAnsi="Times New Roman" w:cs="Times New Roman"/>
          <w:sz w:val="24"/>
          <w:szCs w:val="24"/>
        </w:rPr>
        <w:t>d’</w:t>
      </w:r>
      <w:r w:rsidRPr="008A1DB9">
        <w:rPr>
          <w:rFonts w:ascii="Times New Roman" w:hAnsi="Times New Roman" w:cs="Times New Roman"/>
          <w:sz w:val="24"/>
          <w:szCs w:val="24"/>
        </w:rPr>
        <w:t>au moins 1</w:t>
      </w:r>
      <w:r w:rsidR="00FF7D78" w:rsidRPr="008A1DB9">
        <w:rPr>
          <w:rFonts w:ascii="Times New Roman" w:hAnsi="Times New Roman" w:cs="Times New Roman"/>
          <w:sz w:val="24"/>
          <w:szCs w:val="24"/>
        </w:rPr>
        <w:t>5</w:t>
      </w:r>
      <w:r w:rsidRPr="008A1DB9">
        <w:rPr>
          <w:rFonts w:ascii="Times New Roman" w:hAnsi="Times New Roman" w:cs="Times New Roman"/>
          <w:sz w:val="24"/>
          <w:szCs w:val="24"/>
        </w:rPr>
        <w:t xml:space="preserve"> années</w:t>
      </w:r>
      <w:bookmarkEnd w:id="32"/>
      <w:r w:rsidR="00BB24A7" w:rsidRPr="008A1DB9">
        <w:rPr>
          <w:rFonts w:ascii="Times New Roman" w:hAnsi="Times New Roman" w:cs="Times New Roman"/>
          <w:sz w:val="24"/>
          <w:szCs w:val="24"/>
        </w:rPr>
        <w:t xml:space="preserve"> en conception/élaboration et gestion des projets de construction</w:t>
      </w:r>
      <w:r w:rsidRPr="008A1DB9">
        <w:rPr>
          <w:rFonts w:ascii="Times New Roman" w:hAnsi="Times New Roman" w:cs="Times New Roman"/>
          <w:sz w:val="24"/>
          <w:szCs w:val="24"/>
        </w:rPr>
        <w:t>, réhabilitation, rénovation et extension</w:t>
      </w:r>
      <w:r w:rsidR="00BB24A7" w:rsidRPr="008A1DB9">
        <w:rPr>
          <w:rFonts w:ascii="Times New Roman" w:hAnsi="Times New Roman" w:cs="Times New Roman"/>
          <w:sz w:val="24"/>
          <w:szCs w:val="24"/>
        </w:rPr>
        <w:t>.</w:t>
      </w:r>
    </w:p>
    <w:p w:rsidR="00BB24A7" w:rsidRPr="008A1DB9" w:rsidRDefault="004E19CD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BB24A7" w:rsidRPr="008A1DB9">
        <w:rPr>
          <w:rFonts w:ascii="Times New Roman" w:hAnsi="Times New Roman" w:cs="Times New Roman"/>
          <w:sz w:val="24"/>
          <w:szCs w:val="24"/>
        </w:rPr>
        <w:t xml:space="preserve">Expérience avéréesimilaires </w:t>
      </w:r>
      <w:r w:rsidRPr="008A1DB9">
        <w:rPr>
          <w:rFonts w:ascii="Times New Roman" w:hAnsi="Times New Roman" w:cs="Times New Roman"/>
          <w:sz w:val="24"/>
          <w:szCs w:val="24"/>
        </w:rPr>
        <w:t>d’au moins 1</w:t>
      </w:r>
      <w:r w:rsidR="001257AB" w:rsidRPr="008A1DB9">
        <w:rPr>
          <w:rFonts w:ascii="Times New Roman" w:hAnsi="Times New Roman" w:cs="Times New Roman"/>
          <w:sz w:val="24"/>
          <w:szCs w:val="24"/>
        </w:rPr>
        <w:t>5</w:t>
      </w:r>
      <w:r w:rsidRPr="008A1DB9">
        <w:rPr>
          <w:rFonts w:ascii="Times New Roman" w:hAnsi="Times New Roman" w:cs="Times New Roman"/>
          <w:sz w:val="24"/>
          <w:szCs w:val="24"/>
        </w:rPr>
        <w:t xml:space="preserve"> années </w:t>
      </w:r>
      <w:r w:rsidR="00BB24A7" w:rsidRPr="008A1DB9">
        <w:rPr>
          <w:rFonts w:ascii="Times New Roman" w:hAnsi="Times New Roman" w:cs="Times New Roman"/>
          <w:sz w:val="24"/>
          <w:szCs w:val="24"/>
        </w:rPr>
        <w:t>dans le suivi et l’exécution de travaux de réhabilitation</w:t>
      </w:r>
      <w:bookmarkStart w:id="33" w:name="_Hlk159113226"/>
      <w:r w:rsidRPr="008A1DB9">
        <w:rPr>
          <w:rFonts w:ascii="Times New Roman" w:hAnsi="Times New Roman" w:cs="Times New Roman"/>
          <w:sz w:val="24"/>
          <w:szCs w:val="24"/>
        </w:rPr>
        <w:t>, de rénovation et d’extension</w:t>
      </w:r>
      <w:bookmarkEnd w:id="33"/>
      <w:r w:rsidR="00BB24A7" w:rsidRPr="008A1DB9">
        <w:rPr>
          <w:rFonts w:ascii="Times New Roman" w:hAnsi="Times New Roman" w:cs="Times New Roman"/>
          <w:sz w:val="24"/>
          <w:szCs w:val="24"/>
        </w:rPr>
        <w:t>d’ouvrages en bâtiment selon les règles de l’art ainsi que la mise en œuvre des projets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BB24A7" w:rsidRPr="008A1DB9" w:rsidRDefault="004E19CD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lastRenderedPageBreak/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BB24A7" w:rsidRPr="008A1DB9">
        <w:rPr>
          <w:rFonts w:ascii="Times New Roman" w:hAnsi="Times New Roman" w:cs="Times New Roman"/>
          <w:sz w:val="24"/>
          <w:szCs w:val="24"/>
        </w:rPr>
        <w:t xml:space="preserve">Expérience </w:t>
      </w:r>
      <w:r w:rsidRPr="008A1DB9">
        <w:rPr>
          <w:rFonts w:ascii="Times New Roman" w:hAnsi="Times New Roman" w:cs="Times New Roman"/>
          <w:sz w:val="24"/>
          <w:szCs w:val="24"/>
        </w:rPr>
        <w:t xml:space="preserve">d’au moins 10 </w:t>
      </w:r>
      <w:r w:rsidR="00FF7D78" w:rsidRPr="008A1DB9">
        <w:rPr>
          <w:rFonts w:ascii="Times New Roman" w:hAnsi="Times New Roman" w:cs="Times New Roman"/>
          <w:sz w:val="24"/>
          <w:szCs w:val="24"/>
        </w:rPr>
        <w:t>projets similaires réalisés en tant que chef de mission ou consultant principal</w:t>
      </w:r>
      <w:r w:rsidRPr="008A1DB9">
        <w:rPr>
          <w:rFonts w:ascii="Times New Roman" w:hAnsi="Times New Roman" w:cs="Times New Roman"/>
          <w:sz w:val="24"/>
          <w:szCs w:val="24"/>
        </w:rPr>
        <w:t>.</w:t>
      </w:r>
    </w:p>
    <w:p w:rsidR="004E19CD" w:rsidRPr="008A1DB9" w:rsidRDefault="004E19CD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Excellente maîtrise des logiciels (Microsoft Office, AutoCAD, MS Project, Robot bat, etc.).</w:t>
      </w:r>
    </w:p>
    <w:p w:rsidR="00BB24A7" w:rsidRPr="008A1DB9" w:rsidRDefault="004E19CD" w:rsidP="00523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</w:t>
      </w:r>
      <w:r w:rsidR="00BB24A7" w:rsidRPr="008A1DB9">
        <w:rPr>
          <w:rFonts w:ascii="Times New Roman" w:hAnsi="Times New Roman" w:cs="Times New Roman"/>
          <w:sz w:val="24"/>
          <w:szCs w:val="24"/>
        </w:rPr>
        <w:t>Excellente capacité d’écriture des rapports en langue française.</w:t>
      </w:r>
    </w:p>
    <w:p w:rsidR="004B36A7" w:rsidRPr="008A1DB9" w:rsidRDefault="004B36A7" w:rsidP="004B36A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8A1DB9">
        <w:rPr>
          <w:rFonts w:ascii="Times New Roman" w:hAnsi="Times New Roman" w:cs="Times New Roman"/>
          <w:sz w:val="24"/>
          <w:szCs w:val="24"/>
        </w:rPr>
        <w:t> Une connaissance dans les procédures de passations de marchés nationales/internationales est un atout.</w:t>
      </w:r>
    </w:p>
    <w:p w:rsidR="0012152B" w:rsidRPr="004E19CD" w:rsidRDefault="0012152B" w:rsidP="001E42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172653328"/>
      <w:bookmarkEnd w:id="28"/>
      <w:bookmarkEnd w:id="29"/>
    </w:p>
    <w:bookmarkEnd w:id="34"/>
    <w:p w:rsidR="00CF6C6F" w:rsidRPr="00CB3D27" w:rsidRDefault="00CF6C6F" w:rsidP="000D503E">
      <w:pPr>
        <w:pStyle w:val="Titre1"/>
        <w:numPr>
          <w:ilvl w:val="0"/>
          <w:numId w:val="1"/>
        </w:numPr>
        <w:spacing w:before="0" w:after="160" w:line="259" w:lineRule="auto"/>
        <w:ind w:left="680" w:hanging="340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Contacts </w:t>
      </w:r>
      <w:r w:rsidR="00B138A7">
        <w:rPr>
          <w:rFonts w:ascii="Times New Roman" w:hAnsi="Times New Roman" w:cs="Times New Roman"/>
          <w:b/>
          <w:i w:val="0"/>
          <w:color w:val="000000" w:themeColor="text1"/>
        </w:rPr>
        <w:t xml:space="preserve">du </w:t>
      </w:r>
      <w:r>
        <w:rPr>
          <w:rFonts w:ascii="Times New Roman" w:hAnsi="Times New Roman" w:cs="Times New Roman"/>
          <w:b/>
          <w:i w:val="0"/>
          <w:color w:val="000000" w:themeColor="text1"/>
        </w:rPr>
        <w:t>MENFOP</w:t>
      </w:r>
    </w:p>
    <w:p w:rsidR="00B138A7" w:rsidRPr="00B138A7" w:rsidRDefault="00B138A7" w:rsidP="003358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8A7">
        <w:rPr>
          <w:rFonts w:ascii="Times New Roman" w:hAnsi="Times New Roman" w:cs="Times New Roman"/>
          <w:sz w:val="24"/>
          <w:szCs w:val="24"/>
        </w:rPr>
        <w:t xml:space="preserve">Pour toute information complémentaire, </w:t>
      </w:r>
      <w:r w:rsidR="00510EB9">
        <w:rPr>
          <w:rFonts w:ascii="Times New Roman" w:hAnsi="Times New Roman" w:cs="Times New Roman"/>
          <w:sz w:val="24"/>
          <w:szCs w:val="24"/>
        </w:rPr>
        <w:t xml:space="preserve">il faut </w:t>
      </w:r>
      <w:r w:rsidRPr="00B138A7">
        <w:rPr>
          <w:rFonts w:ascii="Times New Roman" w:hAnsi="Times New Roman" w:cs="Times New Roman"/>
          <w:sz w:val="24"/>
          <w:szCs w:val="24"/>
        </w:rPr>
        <w:t>prendre contact avec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F6C6F" w:rsidRDefault="00CF6C6F" w:rsidP="003358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30687542"/>
      <w:r w:rsidRPr="00CF6C6F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> </w:t>
      </w:r>
      <w:r w:rsidRPr="00CF6C6F">
        <w:rPr>
          <w:rFonts w:ascii="Times New Roman" w:hAnsi="Times New Roman" w:cs="Times New Roman"/>
          <w:b/>
          <w:sz w:val="24"/>
          <w:szCs w:val="24"/>
        </w:rPr>
        <w:t xml:space="preserve">M. ABDOURAHMAN </w:t>
      </w:r>
      <w:r w:rsidR="00B96650">
        <w:rPr>
          <w:rFonts w:ascii="Times New Roman" w:hAnsi="Times New Roman" w:cs="Times New Roman"/>
          <w:b/>
          <w:sz w:val="24"/>
          <w:szCs w:val="24"/>
        </w:rPr>
        <w:t xml:space="preserve">MAHMOUD </w:t>
      </w:r>
      <w:r w:rsidRPr="00CF6C6F">
        <w:rPr>
          <w:rFonts w:ascii="Times New Roman" w:hAnsi="Times New Roman" w:cs="Times New Roman"/>
          <w:b/>
          <w:sz w:val="24"/>
          <w:szCs w:val="24"/>
        </w:rPr>
        <w:t>SALEH</w:t>
      </w:r>
      <w:r>
        <w:rPr>
          <w:rFonts w:ascii="Times New Roman" w:hAnsi="Times New Roman" w:cs="Times New Roman"/>
          <w:sz w:val="24"/>
          <w:szCs w:val="24"/>
        </w:rPr>
        <w:t xml:space="preserve">, Directeur des Projets, de la Maintenance et des Equipements </w:t>
      </w:r>
      <w:r w:rsidR="005F0F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Téléphone bureau : 21</w:t>
      </w:r>
      <w:r w:rsidR="00B96650">
        <w:rPr>
          <w:rFonts w:ascii="Times New Roman" w:hAnsi="Times New Roman" w:cs="Times New Roman"/>
          <w:sz w:val="24"/>
          <w:szCs w:val="24"/>
        </w:rPr>
        <w:t>3</w:t>
      </w:r>
      <w:r w:rsidR="00765A9C">
        <w:rPr>
          <w:rFonts w:ascii="Times New Roman" w:hAnsi="Times New Roman" w:cs="Times New Roman"/>
          <w:sz w:val="24"/>
          <w:szCs w:val="24"/>
        </w:rPr>
        <w:t>5</w:t>
      </w:r>
      <w:r w:rsidR="00B96650">
        <w:rPr>
          <w:rFonts w:ascii="Times New Roman" w:hAnsi="Times New Roman" w:cs="Times New Roman"/>
          <w:sz w:val="24"/>
          <w:szCs w:val="24"/>
        </w:rPr>
        <w:t>1420/21357745</w:t>
      </w:r>
      <w:r w:rsidR="00E42B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Téléphone mobile : 77</w:t>
      </w:r>
      <w:r w:rsidR="00B96650">
        <w:rPr>
          <w:rFonts w:ascii="Times New Roman" w:hAnsi="Times New Roman" w:cs="Times New Roman"/>
          <w:sz w:val="24"/>
          <w:szCs w:val="24"/>
        </w:rPr>
        <w:t>829203</w:t>
      </w:r>
      <w:r w:rsidR="00E42B5A">
        <w:rPr>
          <w:rFonts w:ascii="Times New Roman" w:hAnsi="Times New Roman" w:cs="Times New Roman"/>
          <w:sz w:val="24"/>
          <w:szCs w:val="24"/>
        </w:rPr>
        <w:t xml:space="preserve"> –Courriel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10" w:history="1">
        <w:r w:rsidR="00E42B5A" w:rsidRPr="00B62A9E">
          <w:rPr>
            <w:rStyle w:val="Lienhypertexte"/>
            <w:rFonts w:ascii="Times New Roman" w:hAnsi="Times New Roman" w:cs="Times New Roman"/>
            <w:sz w:val="24"/>
            <w:szCs w:val="24"/>
          </w:rPr>
          <w:t>msalehnio@gmail.com</w:t>
        </w:r>
      </w:hyperlink>
      <w:r w:rsidR="005F0FB2">
        <w:rPr>
          <w:rFonts w:ascii="Times New Roman" w:hAnsi="Times New Roman" w:cs="Times New Roman"/>
          <w:sz w:val="24"/>
          <w:szCs w:val="24"/>
        </w:rPr>
        <w:t>.</w:t>
      </w:r>
    </w:p>
    <w:p w:rsidR="0033589E" w:rsidRPr="00D208C6" w:rsidRDefault="00CF6C6F" w:rsidP="003358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C6F"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 w:rsidRPr="00CF6C6F">
        <w:rPr>
          <w:rFonts w:ascii="Times New Roman" w:hAnsi="Times New Roman" w:cs="Times New Roman"/>
          <w:b/>
          <w:sz w:val="24"/>
          <w:szCs w:val="24"/>
        </w:rPr>
        <w:t> </w:t>
      </w:r>
      <w:r w:rsidR="0033589E" w:rsidRPr="00CF6C6F">
        <w:rPr>
          <w:rFonts w:ascii="Times New Roman" w:hAnsi="Times New Roman" w:cs="Times New Roman"/>
          <w:b/>
          <w:sz w:val="24"/>
          <w:szCs w:val="24"/>
        </w:rPr>
        <w:t>M. DOUGSIYE AOULED DOUKSIEH</w:t>
      </w:r>
      <w:r w:rsidR="0033589E" w:rsidRPr="00D208C6">
        <w:rPr>
          <w:rFonts w:ascii="Times New Roman" w:hAnsi="Times New Roman" w:cs="Times New Roman"/>
          <w:sz w:val="24"/>
          <w:szCs w:val="24"/>
        </w:rPr>
        <w:t>, Directeur de l’Enseignement Technique et de la Formation Professionnelle</w:t>
      </w:r>
      <w:r w:rsidR="005F0FB2">
        <w:rPr>
          <w:rFonts w:ascii="Times New Roman" w:hAnsi="Times New Roman" w:cs="Times New Roman"/>
          <w:sz w:val="24"/>
          <w:szCs w:val="24"/>
        </w:rPr>
        <w:t xml:space="preserve"> – </w:t>
      </w:r>
      <w:r w:rsidR="0033589E" w:rsidRPr="00D208C6">
        <w:rPr>
          <w:rFonts w:ascii="Times New Roman" w:hAnsi="Times New Roman" w:cs="Times New Roman"/>
          <w:sz w:val="24"/>
          <w:szCs w:val="24"/>
        </w:rPr>
        <w:t xml:space="preserve">Téléphone bureau : 21358560 – Téléphone mobile : 77140092 </w:t>
      </w:r>
      <w:r w:rsidR="00E42B5A">
        <w:rPr>
          <w:rFonts w:ascii="Times New Roman" w:hAnsi="Times New Roman" w:cs="Times New Roman"/>
          <w:sz w:val="24"/>
          <w:szCs w:val="24"/>
        </w:rPr>
        <w:t>–Courriel</w:t>
      </w:r>
      <w:r w:rsidR="0033589E" w:rsidRPr="00D208C6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1" w:history="1">
        <w:r w:rsidR="0033589E" w:rsidRPr="00D208C6">
          <w:rPr>
            <w:rStyle w:val="Lienhypertexte"/>
            <w:rFonts w:ascii="Times New Roman" w:hAnsi="Times New Roman" w:cs="Times New Roman"/>
            <w:sz w:val="24"/>
            <w:szCs w:val="24"/>
          </w:rPr>
          <w:t>adougsiye@gmail.com</w:t>
        </w:r>
      </w:hyperlink>
      <w:r w:rsidR="005F0FB2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bookmarkEnd w:id="35"/>
    <w:p w:rsidR="00B96650" w:rsidRPr="00D208C6" w:rsidRDefault="00B96650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2D" w:rsidRDefault="00C62F2D" w:rsidP="009346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C6">
        <w:rPr>
          <w:rFonts w:ascii="Times New Roman" w:hAnsi="Times New Roman" w:cs="Times New Roman"/>
          <w:b/>
          <w:sz w:val="24"/>
          <w:szCs w:val="24"/>
        </w:rPr>
        <w:t>Fait à Djibouti, le</w:t>
      </w:r>
      <w:r w:rsidR="00E262CE">
        <w:rPr>
          <w:rFonts w:ascii="Times New Roman" w:hAnsi="Times New Roman" w:cs="Times New Roman"/>
          <w:b/>
          <w:sz w:val="24"/>
          <w:szCs w:val="24"/>
        </w:rPr>
        <w:t xml:space="preserve"> 25/03/2024</w:t>
      </w:r>
    </w:p>
    <w:bookmarkEnd w:id="6"/>
    <w:p w:rsidR="00E35533" w:rsidRDefault="00E35533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533" w:rsidRDefault="00E35533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533" w:rsidRDefault="00E35533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533" w:rsidRPr="00E35533" w:rsidRDefault="00E35533" w:rsidP="00934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533" w:rsidRPr="00E35533" w:rsidSect="001D648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D573C" w15:done="0"/>
  <w15:commentEx w15:paraId="5EB7953A" w15:done="0"/>
  <w15:commentEx w15:paraId="43E4C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D573C" w16cid:durableId="1140670B"/>
  <w16cid:commentId w16cid:paraId="5EB7953A" w16cid:durableId="7FEF98AB"/>
  <w16cid:commentId w16cid:paraId="43E4C53C" w16cid:durableId="262D7F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20" w:rsidRDefault="000E2A20" w:rsidP="00F1775D">
      <w:pPr>
        <w:spacing w:after="0" w:line="240" w:lineRule="auto"/>
      </w:pPr>
      <w:r>
        <w:separator/>
      </w:r>
    </w:p>
  </w:endnote>
  <w:endnote w:type="continuationSeparator" w:id="1">
    <w:p w:rsidR="000E2A20" w:rsidRDefault="000E2A20" w:rsidP="00F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F8" w:rsidRPr="00EA4C41" w:rsidRDefault="000751E1" w:rsidP="00EA4C41">
    <w:pPr>
      <w:pStyle w:val="Pieddepage"/>
      <w:pBdr>
        <w:top w:val="single" w:sz="8" w:space="1" w:color="000000" w:themeColor="text1"/>
      </w:pBdr>
      <w:jc w:val="center"/>
      <w:rPr>
        <w:rFonts w:ascii="Times New Roman" w:hAnsi="Times New Roman" w:cs="Times New Roman"/>
        <w:b/>
        <w:sz w:val="24"/>
        <w:szCs w:val="24"/>
      </w:rPr>
    </w:pPr>
    <w:r w:rsidRPr="00EA4C4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744BF8" w:rsidRPr="00EA4C41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EA4C41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41676">
      <w:rPr>
        <w:rFonts w:ascii="Times New Roman" w:hAnsi="Times New Roman" w:cs="Times New Roman"/>
        <w:b/>
        <w:bCs/>
        <w:noProof/>
        <w:sz w:val="24"/>
        <w:szCs w:val="24"/>
      </w:rPr>
      <w:t>4</w:t>
    </w:r>
    <w:r w:rsidRPr="00EA4C4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744BF8" w:rsidRPr="00EA4C41">
      <w:rPr>
        <w:rFonts w:ascii="Times New Roman" w:hAnsi="Times New Roman" w:cs="Times New Roman"/>
        <w:b/>
        <w:bCs/>
        <w:sz w:val="24"/>
        <w:szCs w:val="24"/>
      </w:rPr>
      <w:t>/</w:t>
    </w:r>
    <w:fldSimple w:instr=" NUMPAGES  \* Arabic  \* MERGEFORMAT ">
      <w:r w:rsidR="00641676" w:rsidRPr="00641676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20" w:rsidRDefault="000E2A20" w:rsidP="00F1775D">
      <w:pPr>
        <w:spacing w:after="0" w:line="240" w:lineRule="auto"/>
      </w:pPr>
      <w:r>
        <w:separator/>
      </w:r>
    </w:p>
  </w:footnote>
  <w:footnote w:type="continuationSeparator" w:id="1">
    <w:p w:rsidR="000E2A20" w:rsidRDefault="000E2A20" w:rsidP="00F1775D">
      <w:pPr>
        <w:spacing w:after="0" w:line="240" w:lineRule="auto"/>
      </w:pPr>
      <w:r>
        <w:continuationSeparator/>
      </w:r>
    </w:p>
  </w:footnote>
  <w:footnote w:id="2">
    <w:p w:rsidR="003D3A57" w:rsidRPr="003D3A57" w:rsidRDefault="003D3A57" w:rsidP="003D3A57">
      <w:pPr>
        <w:pStyle w:val="Notedebasdepage"/>
        <w:jc w:val="both"/>
        <w:rPr>
          <w:rFonts w:ascii="Times New Roman" w:hAnsi="Times New Roman" w:cs="Times New Roman"/>
        </w:rPr>
      </w:pPr>
      <w:r w:rsidRPr="003D3A57">
        <w:rPr>
          <w:rStyle w:val="Appelnotedebasdep"/>
          <w:rFonts w:ascii="Times New Roman" w:hAnsi="Times New Roman" w:cs="Times New Roman"/>
        </w:rPr>
        <w:footnoteRef/>
      </w:r>
      <w:r w:rsidRPr="003D3A57">
        <w:rPr>
          <w:rFonts w:ascii="Times New Roman" w:hAnsi="Times New Roman" w:cs="Times New Roman"/>
        </w:rPr>
        <w:t xml:space="preserve"> Nombre de jours ouvrables.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BE"/>
    <w:multiLevelType w:val="hybridMultilevel"/>
    <w:tmpl w:val="70ACD5AA"/>
    <w:lvl w:ilvl="0" w:tplc="93A487F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49B5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56EC6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417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E67B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0D04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E2ED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A9A6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C327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9442A"/>
    <w:multiLevelType w:val="hybridMultilevel"/>
    <w:tmpl w:val="6086784A"/>
    <w:lvl w:ilvl="0" w:tplc="2A12610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A83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DBE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647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CA2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B00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CA7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CD65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D74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46DC2"/>
    <w:multiLevelType w:val="multilevel"/>
    <w:tmpl w:val="11542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F3300D"/>
    <w:multiLevelType w:val="hybridMultilevel"/>
    <w:tmpl w:val="3B8CF6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DEA"/>
    <w:multiLevelType w:val="hybridMultilevel"/>
    <w:tmpl w:val="3C6EAD84"/>
    <w:lvl w:ilvl="0" w:tplc="2494852A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C7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602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E0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602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EFA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281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CB3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400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C93DA0"/>
    <w:multiLevelType w:val="hybridMultilevel"/>
    <w:tmpl w:val="5298F2C4"/>
    <w:lvl w:ilvl="0" w:tplc="774C3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43D"/>
    <w:multiLevelType w:val="hybridMultilevel"/>
    <w:tmpl w:val="C7E4075E"/>
    <w:lvl w:ilvl="0" w:tplc="E7C04BE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AB2B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217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C985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AE3C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E038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29CE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A671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C838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8B246C"/>
    <w:multiLevelType w:val="hybridMultilevel"/>
    <w:tmpl w:val="F65A78DE"/>
    <w:lvl w:ilvl="0" w:tplc="E804653C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3F16260"/>
    <w:multiLevelType w:val="hybridMultilevel"/>
    <w:tmpl w:val="B396F7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124"/>
    <w:multiLevelType w:val="hybridMultilevel"/>
    <w:tmpl w:val="3EE8A200"/>
    <w:lvl w:ilvl="0" w:tplc="FFFFFFFF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F17971"/>
    <w:multiLevelType w:val="hybridMultilevel"/>
    <w:tmpl w:val="8610AD06"/>
    <w:lvl w:ilvl="0" w:tplc="0F0A520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8D1E26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222401C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2D68471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528213A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1C2C097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85CA3E64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EAA2FE3A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83C48A50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1">
    <w:nsid w:val="4CD60093"/>
    <w:multiLevelType w:val="hybridMultilevel"/>
    <w:tmpl w:val="7A00EE26"/>
    <w:lvl w:ilvl="0" w:tplc="2A845E44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4383353"/>
    <w:multiLevelType w:val="hybridMultilevel"/>
    <w:tmpl w:val="8BC6D042"/>
    <w:lvl w:ilvl="0" w:tplc="2DC663B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2CB8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C9C2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A2FA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44F0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8B4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8172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8523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07DB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375AB3"/>
    <w:multiLevelType w:val="hybridMultilevel"/>
    <w:tmpl w:val="A36859AC"/>
    <w:lvl w:ilvl="0" w:tplc="77403CCA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E2E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97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ABB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C7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432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2A2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67E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E91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965CA1"/>
    <w:multiLevelType w:val="hybridMultilevel"/>
    <w:tmpl w:val="A25C31A4"/>
    <w:lvl w:ilvl="0" w:tplc="B504FE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4816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8C88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2CF4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407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006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E227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88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0F68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FC5B9C"/>
    <w:multiLevelType w:val="hybridMultilevel"/>
    <w:tmpl w:val="735024BA"/>
    <w:lvl w:ilvl="0" w:tplc="55866788">
      <w:start w:val="9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47E10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035A">
      <w:start w:val="1"/>
      <w:numFmt w:val="bullet"/>
      <w:lvlText w:val="▪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CB458">
      <w:start w:val="1"/>
      <w:numFmt w:val="bullet"/>
      <w:lvlText w:val="•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AD6E4">
      <w:start w:val="1"/>
      <w:numFmt w:val="bullet"/>
      <w:lvlText w:val="o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28D70">
      <w:start w:val="1"/>
      <w:numFmt w:val="bullet"/>
      <w:lvlText w:val="▪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40BEE">
      <w:start w:val="1"/>
      <w:numFmt w:val="bullet"/>
      <w:lvlText w:val="•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63D1E">
      <w:start w:val="1"/>
      <w:numFmt w:val="bullet"/>
      <w:lvlText w:val="o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27428">
      <w:start w:val="1"/>
      <w:numFmt w:val="bullet"/>
      <w:lvlText w:val="▪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605F56"/>
    <w:multiLevelType w:val="hybridMultilevel"/>
    <w:tmpl w:val="6E64702E"/>
    <w:lvl w:ilvl="0" w:tplc="337C62D0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0F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8C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828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A9F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4FC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C0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D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6D6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720B87"/>
    <w:multiLevelType w:val="hybridMultilevel"/>
    <w:tmpl w:val="755012FC"/>
    <w:lvl w:ilvl="0" w:tplc="29A638C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5A8B0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F62F3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390E8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A1E68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CC265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BBA26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978641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81ABD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D5E8E"/>
    <w:multiLevelType w:val="hybridMultilevel"/>
    <w:tmpl w:val="5E02F326"/>
    <w:lvl w:ilvl="0" w:tplc="2DCEC75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723D6"/>
    <w:multiLevelType w:val="hybridMultilevel"/>
    <w:tmpl w:val="3D1E2370"/>
    <w:lvl w:ilvl="0" w:tplc="EF6A45A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12A1E68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2100BDC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6A4095FC">
      <w:start w:val="35"/>
      <w:numFmt w:val="decimal"/>
      <w:lvlText w:val="%4."/>
      <w:lvlJc w:val="left"/>
      <w:pPr>
        <w:tabs>
          <w:tab w:val="num" w:pos="3666"/>
        </w:tabs>
        <w:ind w:left="3666" w:hanging="450"/>
      </w:pPr>
      <w:rPr>
        <w:rFonts w:hint="default"/>
      </w:rPr>
    </w:lvl>
    <w:lvl w:ilvl="4" w:tplc="85F0D2B8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C08B1CC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7F405A70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DA5C925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93C5746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0">
    <w:nsid w:val="6CED019D"/>
    <w:multiLevelType w:val="hybridMultilevel"/>
    <w:tmpl w:val="49C8DCE6"/>
    <w:lvl w:ilvl="0" w:tplc="0D1668B8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AE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E2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C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02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2B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AF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CA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8F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C74841"/>
    <w:multiLevelType w:val="multilevel"/>
    <w:tmpl w:val="11542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C7088"/>
    <w:multiLevelType w:val="hybridMultilevel"/>
    <w:tmpl w:val="DD28F7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22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20"/>
  </w:num>
  <w:num w:numId="19">
    <w:abstractNumId w:val="4"/>
  </w:num>
  <w:num w:numId="20">
    <w:abstractNumId w:val="15"/>
  </w:num>
  <w:num w:numId="21">
    <w:abstractNumId w:val="16"/>
  </w:num>
  <w:num w:numId="22">
    <w:abstractNumId w:val="21"/>
  </w:num>
  <w:num w:numId="23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o Said Abdo">
    <w15:presenceInfo w15:providerId="AD" w15:userId="S::aabdo@worldbank.org::af6fd331-fe8f-431b-b1d7-de3134fc8a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TN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TN" w:vendorID="64" w:dllVersion="4096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B7651"/>
    <w:rsid w:val="0000066F"/>
    <w:rsid w:val="00003512"/>
    <w:rsid w:val="000036F5"/>
    <w:rsid w:val="0000740F"/>
    <w:rsid w:val="00012473"/>
    <w:rsid w:val="00014397"/>
    <w:rsid w:val="00022A83"/>
    <w:rsid w:val="00025DA5"/>
    <w:rsid w:val="00036538"/>
    <w:rsid w:val="0004250B"/>
    <w:rsid w:val="00043828"/>
    <w:rsid w:val="00044819"/>
    <w:rsid w:val="00050F7E"/>
    <w:rsid w:val="00054A92"/>
    <w:rsid w:val="00072943"/>
    <w:rsid w:val="000751E1"/>
    <w:rsid w:val="00076C05"/>
    <w:rsid w:val="00095471"/>
    <w:rsid w:val="00095B5E"/>
    <w:rsid w:val="000B2430"/>
    <w:rsid w:val="000B6E90"/>
    <w:rsid w:val="000D503E"/>
    <w:rsid w:val="000D5132"/>
    <w:rsid w:val="000E2A20"/>
    <w:rsid w:val="000E2AF7"/>
    <w:rsid w:val="0010001E"/>
    <w:rsid w:val="0012152B"/>
    <w:rsid w:val="001257AB"/>
    <w:rsid w:val="00125B08"/>
    <w:rsid w:val="00152B2F"/>
    <w:rsid w:val="001612EB"/>
    <w:rsid w:val="0018142C"/>
    <w:rsid w:val="00190131"/>
    <w:rsid w:val="001908AC"/>
    <w:rsid w:val="001A36F0"/>
    <w:rsid w:val="001B19BF"/>
    <w:rsid w:val="001B7779"/>
    <w:rsid w:val="001C09AE"/>
    <w:rsid w:val="001D16E0"/>
    <w:rsid w:val="001D6486"/>
    <w:rsid w:val="001E04A1"/>
    <w:rsid w:val="001E0904"/>
    <w:rsid w:val="001E4227"/>
    <w:rsid w:val="001E7F53"/>
    <w:rsid w:val="00205A11"/>
    <w:rsid w:val="00207E74"/>
    <w:rsid w:val="002128C8"/>
    <w:rsid w:val="00214F90"/>
    <w:rsid w:val="00217067"/>
    <w:rsid w:val="00222BEA"/>
    <w:rsid w:val="002272B1"/>
    <w:rsid w:val="00244955"/>
    <w:rsid w:val="00250E97"/>
    <w:rsid w:val="002577EC"/>
    <w:rsid w:val="0027723A"/>
    <w:rsid w:val="00277EB3"/>
    <w:rsid w:val="00277FEB"/>
    <w:rsid w:val="00280B50"/>
    <w:rsid w:val="0028166A"/>
    <w:rsid w:val="00294901"/>
    <w:rsid w:val="00297BE6"/>
    <w:rsid w:val="002A53AB"/>
    <w:rsid w:val="002A6B25"/>
    <w:rsid w:val="002B5121"/>
    <w:rsid w:val="002C7B0E"/>
    <w:rsid w:val="002D59DD"/>
    <w:rsid w:val="002D6558"/>
    <w:rsid w:val="002E11BB"/>
    <w:rsid w:val="002E59F8"/>
    <w:rsid w:val="002F2E67"/>
    <w:rsid w:val="0030746A"/>
    <w:rsid w:val="00310358"/>
    <w:rsid w:val="00320BDA"/>
    <w:rsid w:val="00323285"/>
    <w:rsid w:val="003237C3"/>
    <w:rsid w:val="003242E4"/>
    <w:rsid w:val="00330814"/>
    <w:rsid w:val="00331394"/>
    <w:rsid w:val="0033589E"/>
    <w:rsid w:val="0035332B"/>
    <w:rsid w:val="00354807"/>
    <w:rsid w:val="003658D9"/>
    <w:rsid w:val="003701B9"/>
    <w:rsid w:val="00385C16"/>
    <w:rsid w:val="00392639"/>
    <w:rsid w:val="003B240B"/>
    <w:rsid w:val="003B7651"/>
    <w:rsid w:val="003B7927"/>
    <w:rsid w:val="003D3A57"/>
    <w:rsid w:val="003E7E95"/>
    <w:rsid w:val="003F5BAD"/>
    <w:rsid w:val="003F6CAF"/>
    <w:rsid w:val="00411112"/>
    <w:rsid w:val="004241E1"/>
    <w:rsid w:val="004372E7"/>
    <w:rsid w:val="00440AA2"/>
    <w:rsid w:val="0044454E"/>
    <w:rsid w:val="0045016C"/>
    <w:rsid w:val="00453934"/>
    <w:rsid w:val="00456EAC"/>
    <w:rsid w:val="0048523F"/>
    <w:rsid w:val="004959D5"/>
    <w:rsid w:val="004A1C5A"/>
    <w:rsid w:val="004B36A7"/>
    <w:rsid w:val="004B77DB"/>
    <w:rsid w:val="004C270A"/>
    <w:rsid w:val="004C3F04"/>
    <w:rsid w:val="004C48AF"/>
    <w:rsid w:val="004E19CD"/>
    <w:rsid w:val="004E3617"/>
    <w:rsid w:val="00501D4A"/>
    <w:rsid w:val="00510EB9"/>
    <w:rsid w:val="005214EF"/>
    <w:rsid w:val="00521604"/>
    <w:rsid w:val="00523A87"/>
    <w:rsid w:val="00524FCA"/>
    <w:rsid w:val="00536258"/>
    <w:rsid w:val="00547FAA"/>
    <w:rsid w:val="00550F9A"/>
    <w:rsid w:val="00551746"/>
    <w:rsid w:val="0055692E"/>
    <w:rsid w:val="00564339"/>
    <w:rsid w:val="00581FDC"/>
    <w:rsid w:val="005856D3"/>
    <w:rsid w:val="00586447"/>
    <w:rsid w:val="00586D31"/>
    <w:rsid w:val="0058713D"/>
    <w:rsid w:val="00596018"/>
    <w:rsid w:val="005A0439"/>
    <w:rsid w:val="005B547A"/>
    <w:rsid w:val="005C04D7"/>
    <w:rsid w:val="005C3BE9"/>
    <w:rsid w:val="005C5D8B"/>
    <w:rsid w:val="005D3FE0"/>
    <w:rsid w:val="005E223A"/>
    <w:rsid w:val="005E3272"/>
    <w:rsid w:val="005F02C4"/>
    <w:rsid w:val="005F0FB2"/>
    <w:rsid w:val="00617C52"/>
    <w:rsid w:val="00621351"/>
    <w:rsid w:val="006231B9"/>
    <w:rsid w:val="00624932"/>
    <w:rsid w:val="00626078"/>
    <w:rsid w:val="00641676"/>
    <w:rsid w:val="00657905"/>
    <w:rsid w:val="00663147"/>
    <w:rsid w:val="00667E0C"/>
    <w:rsid w:val="006765F1"/>
    <w:rsid w:val="0067710B"/>
    <w:rsid w:val="0067759F"/>
    <w:rsid w:val="006962AC"/>
    <w:rsid w:val="006A5E7B"/>
    <w:rsid w:val="006B01D3"/>
    <w:rsid w:val="006D287E"/>
    <w:rsid w:val="006F3EBA"/>
    <w:rsid w:val="00715822"/>
    <w:rsid w:val="00716A5C"/>
    <w:rsid w:val="007206D7"/>
    <w:rsid w:val="00744BF8"/>
    <w:rsid w:val="00753DB2"/>
    <w:rsid w:val="00765A9C"/>
    <w:rsid w:val="00777A16"/>
    <w:rsid w:val="007848B1"/>
    <w:rsid w:val="0079392C"/>
    <w:rsid w:val="00794E9A"/>
    <w:rsid w:val="007B4BD7"/>
    <w:rsid w:val="007B4FD3"/>
    <w:rsid w:val="007B7C97"/>
    <w:rsid w:val="007C1F7E"/>
    <w:rsid w:val="007C3CEA"/>
    <w:rsid w:val="007F27BC"/>
    <w:rsid w:val="007F7AA1"/>
    <w:rsid w:val="00810984"/>
    <w:rsid w:val="0081367A"/>
    <w:rsid w:val="00824BCE"/>
    <w:rsid w:val="0083124F"/>
    <w:rsid w:val="00833AED"/>
    <w:rsid w:val="00846446"/>
    <w:rsid w:val="00863CA9"/>
    <w:rsid w:val="00874E9E"/>
    <w:rsid w:val="00882603"/>
    <w:rsid w:val="00890C33"/>
    <w:rsid w:val="00891D6F"/>
    <w:rsid w:val="008A1DB9"/>
    <w:rsid w:val="008A1DBC"/>
    <w:rsid w:val="008B11EC"/>
    <w:rsid w:val="008B24FF"/>
    <w:rsid w:val="008C77F8"/>
    <w:rsid w:val="008E43BD"/>
    <w:rsid w:val="008E65D1"/>
    <w:rsid w:val="008F5508"/>
    <w:rsid w:val="00900BF9"/>
    <w:rsid w:val="00917AAE"/>
    <w:rsid w:val="00921B21"/>
    <w:rsid w:val="009260A4"/>
    <w:rsid w:val="00927103"/>
    <w:rsid w:val="0092723A"/>
    <w:rsid w:val="0093267A"/>
    <w:rsid w:val="00934666"/>
    <w:rsid w:val="00935C3E"/>
    <w:rsid w:val="00942E80"/>
    <w:rsid w:val="00943923"/>
    <w:rsid w:val="009473C0"/>
    <w:rsid w:val="009531A5"/>
    <w:rsid w:val="009559A2"/>
    <w:rsid w:val="009623DB"/>
    <w:rsid w:val="009720F4"/>
    <w:rsid w:val="00974759"/>
    <w:rsid w:val="00974C95"/>
    <w:rsid w:val="009813B0"/>
    <w:rsid w:val="00993A7D"/>
    <w:rsid w:val="009967A4"/>
    <w:rsid w:val="009A2693"/>
    <w:rsid w:val="009A65B5"/>
    <w:rsid w:val="009C4ACD"/>
    <w:rsid w:val="009C662E"/>
    <w:rsid w:val="009D2321"/>
    <w:rsid w:val="009E0BAD"/>
    <w:rsid w:val="009E23FA"/>
    <w:rsid w:val="009F04E2"/>
    <w:rsid w:val="00A03702"/>
    <w:rsid w:val="00A301F5"/>
    <w:rsid w:val="00A56BC8"/>
    <w:rsid w:val="00A6127E"/>
    <w:rsid w:val="00A70AA2"/>
    <w:rsid w:val="00A72225"/>
    <w:rsid w:val="00A83C04"/>
    <w:rsid w:val="00A85DB4"/>
    <w:rsid w:val="00A8741A"/>
    <w:rsid w:val="00A91BDC"/>
    <w:rsid w:val="00A932AA"/>
    <w:rsid w:val="00AA1DF7"/>
    <w:rsid w:val="00AA253F"/>
    <w:rsid w:val="00AB098F"/>
    <w:rsid w:val="00AB78CC"/>
    <w:rsid w:val="00AC110A"/>
    <w:rsid w:val="00AC24CC"/>
    <w:rsid w:val="00AC5AB6"/>
    <w:rsid w:val="00AC6CD6"/>
    <w:rsid w:val="00AD6AD0"/>
    <w:rsid w:val="00AD76CC"/>
    <w:rsid w:val="00AE1B2B"/>
    <w:rsid w:val="00AE1C98"/>
    <w:rsid w:val="00AE2C99"/>
    <w:rsid w:val="00B07C75"/>
    <w:rsid w:val="00B1098C"/>
    <w:rsid w:val="00B13554"/>
    <w:rsid w:val="00B138A7"/>
    <w:rsid w:val="00B23852"/>
    <w:rsid w:val="00B25B61"/>
    <w:rsid w:val="00B378D2"/>
    <w:rsid w:val="00B40858"/>
    <w:rsid w:val="00B45E57"/>
    <w:rsid w:val="00B56973"/>
    <w:rsid w:val="00B7079C"/>
    <w:rsid w:val="00B7268D"/>
    <w:rsid w:val="00B76485"/>
    <w:rsid w:val="00B80565"/>
    <w:rsid w:val="00B8180F"/>
    <w:rsid w:val="00B8703A"/>
    <w:rsid w:val="00B91128"/>
    <w:rsid w:val="00B96650"/>
    <w:rsid w:val="00B96D28"/>
    <w:rsid w:val="00BB24A7"/>
    <w:rsid w:val="00BB52AB"/>
    <w:rsid w:val="00BB6EFF"/>
    <w:rsid w:val="00BE6EF1"/>
    <w:rsid w:val="00C10452"/>
    <w:rsid w:val="00C10A6C"/>
    <w:rsid w:val="00C129B4"/>
    <w:rsid w:val="00C1727D"/>
    <w:rsid w:val="00C25BB9"/>
    <w:rsid w:val="00C41244"/>
    <w:rsid w:val="00C4223C"/>
    <w:rsid w:val="00C4483E"/>
    <w:rsid w:val="00C62F2D"/>
    <w:rsid w:val="00C75AF1"/>
    <w:rsid w:val="00CB05A1"/>
    <w:rsid w:val="00CB3D27"/>
    <w:rsid w:val="00CC6234"/>
    <w:rsid w:val="00CD0F72"/>
    <w:rsid w:val="00CD2AB6"/>
    <w:rsid w:val="00CF0030"/>
    <w:rsid w:val="00CF3039"/>
    <w:rsid w:val="00CF6C6F"/>
    <w:rsid w:val="00D01930"/>
    <w:rsid w:val="00D14A50"/>
    <w:rsid w:val="00D15BC7"/>
    <w:rsid w:val="00D208C6"/>
    <w:rsid w:val="00D32762"/>
    <w:rsid w:val="00D35C91"/>
    <w:rsid w:val="00D6113D"/>
    <w:rsid w:val="00D66322"/>
    <w:rsid w:val="00D86DAE"/>
    <w:rsid w:val="00D904A1"/>
    <w:rsid w:val="00D956FC"/>
    <w:rsid w:val="00DB3DAB"/>
    <w:rsid w:val="00DB4D00"/>
    <w:rsid w:val="00DB6DF4"/>
    <w:rsid w:val="00DD0702"/>
    <w:rsid w:val="00DE2CB9"/>
    <w:rsid w:val="00E02C59"/>
    <w:rsid w:val="00E209E9"/>
    <w:rsid w:val="00E20BC2"/>
    <w:rsid w:val="00E262CE"/>
    <w:rsid w:val="00E34C8F"/>
    <w:rsid w:val="00E35533"/>
    <w:rsid w:val="00E42B5A"/>
    <w:rsid w:val="00E56067"/>
    <w:rsid w:val="00E62C0A"/>
    <w:rsid w:val="00E659B7"/>
    <w:rsid w:val="00E747A8"/>
    <w:rsid w:val="00E910A9"/>
    <w:rsid w:val="00E91C98"/>
    <w:rsid w:val="00E94873"/>
    <w:rsid w:val="00EA2C47"/>
    <w:rsid w:val="00EA4C41"/>
    <w:rsid w:val="00EA6762"/>
    <w:rsid w:val="00EB49FE"/>
    <w:rsid w:val="00EB5E71"/>
    <w:rsid w:val="00EC1018"/>
    <w:rsid w:val="00EC54BB"/>
    <w:rsid w:val="00ED1FAD"/>
    <w:rsid w:val="00ED4FF8"/>
    <w:rsid w:val="00ED50A4"/>
    <w:rsid w:val="00ED7D99"/>
    <w:rsid w:val="00EE3846"/>
    <w:rsid w:val="00EE3A5F"/>
    <w:rsid w:val="00EE7C57"/>
    <w:rsid w:val="00EF7804"/>
    <w:rsid w:val="00F04967"/>
    <w:rsid w:val="00F056FA"/>
    <w:rsid w:val="00F066FB"/>
    <w:rsid w:val="00F07539"/>
    <w:rsid w:val="00F13F52"/>
    <w:rsid w:val="00F1775D"/>
    <w:rsid w:val="00F236F1"/>
    <w:rsid w:val="00F4639C"/>
    <w:rsid w:val="00F76BA5"/>
    <w:rsid w:val="00F83B19"/>
    <w:rsid w:val="00F8411F"/>
    <w:rsid w:val="00F91FB6"/>
    <w:rsid w:val="00F95D30"/>
    <w:rsid w:val="00FA2059"/>
    <w:rsid w:val="00FB006B"/>
    <w:rsid w:val="00FB1E24"/>
    <w:rsid w:val="00FC41C3"/>
    <w:rsid w:val="00FD3F5A"/>
    <w:rsid w:val="00FD47E6"/>
    <w:rsid w:val="00FF3F2B"/>
    <w:rsid w:val="00FF4FDE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F8"/>
  </w:style>
  <w:style w:type="paragraph" w:styleId="Titre1">
    <w:name w:val="heading 1"/>
    <w:basedOn w:val="Normal"/>
    <w:next w:val="Normal"/>
    <w:link w:val="Titre1Car"/>
    <w:uiPriority w:val="9"/>
    <w:qFormat/>
    <w:rsid w:val="00152B2F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1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1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52B2F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15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59601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basedOn w:val="TableauNormal"/>
    <w:uiPriority w:val="42"/>
    <w:rsid w:val="00AB7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E02C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75D"/>
  </w:style>
  <w:style w:type="paragraph" w:styleId="Pieddepage">
    <w:name w:val="footer"/>
    <w:basedOn w:val="Normal"/>
    <w:link w:val="PieddepageCar"/>
    <w:uiPriority w:val="99"/>
    <w:unhideWhenUsed/>
    <w:rsid w:val="00F1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75D"/>
  </w:style>
  <w:style w:type="character" w:styleId="Lienhypertexte">
    <w:name w:val="Hyperlink"/>
    <w:basedOn w:val="Policepardfaut"/>
    <w:uiPriority w:val="99"/>
    <w:unhideWhenUsed/>
    <w:rsid w:val="0033589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6C6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42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42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42E4"/>
    <w:rPr>
      <w:vertAlign w:val="superscript"/>
    </w:rPr>
  </w:style>
  <w:style w:type="paragraph" w:styleId="Corpsdetexte2">
    <w:name w:val="Body Text 2"/>
    <w:basedOn w:val="Normal"/>
    <w:link w:val="Corpsdetexte2Car"/>
    <w:unhideWhenUsed/>
    <w:rsid w:val="002772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277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2C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A2C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2C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2C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2C4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A2C4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ougsiy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alehnio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CF36-0AA7-43D6-9065-FC56C655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Mounah</cp:lastModifiedBy>
  <cp:revision>9</cp:revision>
  <dcterms:created xsi:type="dcterms:W3CDTF">2024-03-17T13:08:00Z</dcterms:created>
  <dcterms:modified xsi:type="dcterms:W3CDTF">2024-04-02T07:29:00Z</dcterms:modified>
</cp:coreProperties>
</file>